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styles.xml" ContentType="application/vnd.openxmlformats-officedocument.wordprocessingml.styl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84"/>
        <w:gridCol w:w="4266"/>
      </w:tblGrid>
      <w:tr w:rsidR="00B95DB7" w:rsidRPr="00347A50" w:rsidTr="001811B4">
        <w:tc>
          <w:tcPr>
            <w:tcW w:w="9350" w:type="dxa"/>
            <w:gridSpan w:val="2"/>
            <w:shd w:val="clear" w:color="auto" w:fill="595959" w:themeFill="text1" w:themeFillTint="A6"/>
          </w:tcPr>
          <w:p w:rsidR="00B95DB7" w:rsidRPr="001811B4" w:rsidRDefault="00B95DB7" w:rsidP="00347A50">
            <w:pPr>
              <w:spacing w:after="0" w:line="240" w:lineRule="auto"/>
              <w:rPr>
                <w:rFonts w:eastAsia="Times New Roman" w:cs="Calibri"/>
                <w:b/>
                <w:bCs/>
                <w:smallCaps/>
                <w:color w:val="FFFFFF" w:themeColor="background1"/>
                <w:sz w:val="24"/>
                <w:szCs w:val="24"/>
              </w:rPr>
            </w:pPr>
            <w:bookmarkStart w:id="0" w:name="_GoBack"/>
            <w:bookmarkEnd w:id="0"/>
            <w:r w:rsidRPr="001811B4">
              <w:rPr>
                <w:rFonts w:eastAsia="Times New Roman" w:cs="Calibri"/>
                <w:b/>
                <w:bCs/>
                <w:smallCaps/>
                <w:color w:val="FFFFFF" w:themeColor="background1"/>
                <w:sz w:val="24"/>
                <w:szCs w:val="24"/>
              </w:rPr>
              <w:t>Addendum to ANNEX B – Responses to the Comments of the STAP and GEF Council to the for the Mediterranean Sea Programme (MedProgramme): Enhancing Environmental Security (GEF ID: 9607)</w:t>
            </w:r>
          </w:p>
          <w:p w:rsidR="00B95DB7" w:rsidRPr="00B40B51" w:rsidRDefault="00B95DB7" w:rsidP="00347A50">
            <w:pPr>
              <w:spacing w:after="0" w:line="240" w:lineRule="auto"/>
              <w:rPr>
                <w:rFonts w:eastAsia="Times New Roman" w:cs="Calibri"/>
                <w:b/>
                <w:bCs/>
                <w:iCs/>
                <w:color w:val="000000"/>
              </w:rPr>
            </w:pPr>
          </w:p>
        </w:tc>
      </w:tr>
      <w:tr w:rsidR="00B95DB7" w:rsidRPr="00347A50" w:rsidTr="001811B4">
        <w:tc>
          <w:tcPr>
            <w:tcW w:w="9350" w:type="dxa"/>
            <w:gridSpan w:val="2"/>
            <w:shd w:val="clear" w:color="auto" w:fill="A6A6A6" w:themeFill="background1" w:themeFillShade="A6"/>
          </w:tcPr>
          <w:p w:rsidR="00B95DB7" w:rsidRPr="00B95DB7" w:rsidRDefault="00B95DB7" w:rsidP="00347A50">
            <w:pPr>
              <w:spacing w:after="0" w:line="240" w:lineRule="auto"/>
              <w:rPr>
                <w:rFonts w:eastAsia="Times New Roman" w:cs="Calibri"/>
                <w:b/>
                <w:bCs/>
                <w:color w:val="000000"/>
                <w:sz w:val="26"/>
                <w:szCs w:val="26"/>
              </w:rPr>
            </w:pPr>
          </w:p>
          <w:p w:rsidR="00B95DB7" w:rsidRPr="00B40B51" w:rsidRDefault="00B95DB7" w:rsidP="00347A50">
            <w:pPr>
              <w:spacing w:after="0" w:line="240" w:lineRule="auto"/>
              <w:rPr>
                <w:rFonts w:eastAsia="Times New Roman" w:cs="Calibri"/>
                <w:b/>
                <w:bCs/>
                <w:iCs/>
                <w:color w:val="000000"/>
              </w:rPr>
            </w:pPr>
            <w:r w:rsidRPr="00B95DB7">
              <w:rPr>
                <w:rFonts w:eastAsia="Times New Roman" w:cs="Calibri"/>
                <w:b/>
                <w:bCs/>
                <w:color w:val="000000"/>
                <w:sz w:val="26"/>
                <w:szCs w:val="26"/>
              </w:rPr>
              <w:t>STAP Review</w:t>
            </w:r>
            <w:r w:rsidRPr="00B40B51">
              <w:rPr>
                <w:rFonts w:eastAsia="Times New Roman" w:cs="Calibri"/>
                <w:b/>
                <w:bCs/>
                <w:color w:val="000000"/>
              </w:rPr>
              <w:t xml:space="preserve"> </w:t>
            </w:r>
          </w:p>
        </w:tc>
      </w:tr>
      <w:tr w:rsidR="00B95DB7" w:rsidRPr="00B40B51" w:rsidTr="001811B4">
        <w:tc>
          <w:tcPr>
            <w:tcW w:w="5084" w:type="dxa"/>
            <w:shd w:val="clear" w:color="auto" w:fill="D9D9D9" w:themeFill="background1" w:themeFillShade="D9"/>
          </w:tcPr>
          <w:p w:rsidR="00B95DB7" w:rsidRDefault="00B95DB7" w:rsidP="00347A50">
            <w:pPr>
              <w:spacing w:after="0" w:line="240" w:lineRule="auto"/>
              <w:rPr>
                <w:rStyle w:val="CommentReference"/>
                <w:rFonts w:eastAsia="Times New Roman" w:cs="Calibri"/>
                <w:b/>
                <w:sz w:val="22"/>
                <w:szCs w:val="22"/>
                <w:lang w:eastAsia="x-none"/>
              </w:rPr>
            </w:pPr>
          </w:p>
          <w:p w:rsidR="00B95DB7" w:rsidRPr="00B95DB7" w:rsidRDefault="00B95DB7" w:rsidP="00347A50">
            <w:pPr>
              <w:spacing w:after="0" w:line="240" w:lineRule="auto"/>
              <w:rPr>
                <w:rStyle w:val="CommentReference"/>
                <w:rFonts w:eastAsia="Times New Roman" w:cs="Calibri"/>
                <w:b/>
                <w:sz w:val="22"/>
                <w:szCs w:val="22"/>
                <w:lang w:eastAsia="x-none"/>
              </w:rPr>
            </w:pPr>
            <w:r w:rsidRPr="00B95DB7">
              <w:rPr>
                <w:rStyle w:val="CommentReference"/>
                <w:rFonts w:eastAsia="Times New Roman" w:cs="Calibri"/>
                <w:b/>
                <w:sz w:val="22"/>
                <w:szCs w:val="22"/>
                <w:lang w:eastAsia="x-none"/>
              </w:rPr>
              <w:t>C</w:t>
            </w:r>
            <w:r w:rsidRPr="00B95DB7">
              <w:rPr>
                <w:rStyle w:val="CommentReference"/>
                <w:b/>
                <w:sz w:val="22"/>
                <w:szCs w:val="22"/>
                <w:lang w:eastAsia="x-none"/>
              </w:rPr>
              <w:t>omments</w:t>
            </w:r>
          </w:p>
        </w:tc>
        <w:tc>
          <w:tcPr>
            <w:tcW w:w="4266" w:type="dxa"/>
            <w:shd w:val="clear" w:color="auto" w:fill="D9D9D9" w:themeFill="background1" w:themeFillShade="D9"/>
          </w:tcPr>
          <w:p w:rsidR="00B95DB7" w:rsidRDefault="00B95DB7" w:rsidP="00347A50">
            <w:pPr>
              <w:spacing w:after="0" w:line="240" w:lineRule="auto"/>
              <w:rPr>
                <w:rFonts w:eastAsia="Times New Roman" w:cs="Calibri"/>
                <w:b/>
                <w:iCs/>
                <w:color w:val="000000"/>
              </w:rPr>
            </w:pPr>
          </w:p>
          <w:p w:rsidR="00B95DB7" w:rsidRPr="00B95DB7" w:rsidRDefault="00B95DB7" w:rsidP="00347A50">
            <w:pPr>
              <w:spacing w:after="0" w:line="240" w:lineRule="auto"/>
              <w:rPr>
                <w:rFonts w:eastAsia="Times New Roman" w:cs="Calibri"/>
                <w:b/>
                <w:iCs/>
                <w:color w:val="000000"/>
              </w:rPr>
            </w:pPr>
            <w:r w:rsidRPr="00B95DB7">
              <w:rPr>
                <w:rFonts w:eastAsia="Times New Roman" w:cs="Calibri"/>
                <w:b/>
                <w:iCs/>
                <w:color w:val="000000"/>
              </w:rPr>
              <w:t>Response</w:t>
            </w:r>
          </w:p>
        </w:tc>
      </w:tr>
      <w:tr w:rsidR="00B95DB7" w:rsidRPr="00B40B51" w:rsidTr="00B95DB7">
        <w:tc>
          <w:tcPr>
            <w:tcW w:w="5084" w:type="dxa"/>
            <w:shd w:val="clear" w:color="auto" w:fill="auto"/>
          </w:tcPr>
          <w:p w:rsidR="00B95DB7" w:rsidRPr="00B40B51" w:rsidRDefault="00B95DB7" w:rsidP="00347A50">
            <w:pPr>
              <w:spacing w:after="0" w:line="240" w:lineRule="auto"/>
              <w:rPr>
                <w:rStyle w:val="CommentReference"/>
                <w:rFonts w:eastAsia="Times New Roman" w:cs="Calibri"/>
                <w:sz w:val="20"/>
                <w:szCs w:val="20"/>
                <w:lang w:val="x-none" w:eastAsia="x-none"/>
              </w:rPr>
            </w:pPr>
            <w:r w:rsidRPr="00E50636">
              <w:rPr>
                <w:rStyle w:val="CommentReference"/>
                <w:rFonts w:eastAsia="Times New Roman" w:cs="Calibri"/>
                <w:sz w:val="20"/>
                <w:szCs w:val="20"/>
                <w:lang w:val="x-none" w:eastAsia="x-none"/>
              </w:rPr>
              <w:t>The need for the proposed Programme is understood by STAP to be a demand for a coordinating mechanism for the implementation of actions identified through the MedPartnership project.</w:t>
            </w:r>
          </w:p>
        </w:tc>
        <w:tc>
          <w:tcPr>
            <w:tcW w:w="4266" w:type="dxa"/>
            <w:shd w:val="clear" w:color="auto" w:fill="auto"/>
          </w:tcPr>
          <w:p w:rsidR="00B95DB7" w:rsidRPr="00E50636" w:rsidRDefault="00B95DB7" w:rsidP="00347A50">
            <w:pPr>
              <w:spacing w:after="0" w:line="240" w:lineRule="auto"/>
              <w:rPr>
                <w:rFonts w:eastAsia="Times New Roman" w:cs="Calibri"/>
                <w:iCs/>
                <w:color w:val="000000"/>
                <w:sz w:val="20"/>
                <w:szCs w:val="20"/>
              </w:rPr>
            </w:pPr>
            <w:r w:rsidRPr="00E50636">
              <w:rPr>
                <w:rFonts w:eastAsia="Times New Roman" w:cs="Calibri"/>
                <w:iCs/>
                <w:color w:val="000000"/>
                <w:sz w:val="20"/>
                <w:szCs w:val="20"/>
              </w:rPr>
              <w:t>The actions that will be addressed in the MedProgramme were defined by the Countries after a long and complex participatory TDA-SAP process leading to the National Action Plans where all the major stakeholders at national level were involved along with the major decision makers and political institutions. The MedPartnership was instrumental in supporting the final phase of this process in order to ensure that the NAPs were developed by the countries in a coordinated and efficient sound manner.</w:t>
            </w:r>
          </w:p>
        </w:tc>
      </w:tr>
      <w:tr w:rsidR="00B95DB7" w:rsidRPr="00B40B51" w:rsidTr="00B95DB7">
        <w:tc>
          <w:tcPr>
            <w:tcW w:w="5084" w:type="dxa"/>
            <w:shd w:val="clear" w:color="auto" w:fill="auto"/>
          </w:tcPr>
          <w:p w:rsidR="00B95DB7" w:rsidRPr="00B40B51" w:rsidRDefault="00B95DB7" w:rsidP="00347A50">
            <w:pPr>
              <w:spacing w:after="0" w:line="240" w:lineRule="auto"/>
              <w:rPr>
                <w:rFonts w:eastAsia="Times New Roman" w:cs="Calibri"/>
                <w:color w:val="000000"/>
                <w:sz w:val="20"/>
                <w:szCs w:val="20"/>
              </w:rPr>
            </w:pPr>
            <w:r w:rsidRPr="00B40B51">
              <w:rPr>
                <w:rFonts w:eastAsia="Times New Roman" w:cs="Calibri"/>
                <w:color w:val="000000"/>
                <w:sz w:val="20"/>
                <w:szCs w:val="20"/>
              </w:rPr>
              <w:t>The updating of the TDA proposed in Child Project 1.1 should not be permitted to distract from the implementation of the two agreed SAPs and various NAPs.</w:t>
            </w:r>
          </w:p>
        </w:tc>
        <w:tc>
          <w:tcPr>
            <w:tcW w:w="4266" w:type="dxa"/>
            <w:shd w:val="clear" w:color="auto" w:fill="auto"/>
          </w:tcPr>
          <w:p w:rsidR="00B95DB7" w:rsidRPr="00B40B51" w:rsidRDefault="00B95DB7" w:rsidP="00347A50">
            <w:pPr>
              <w:spacing w:after="0" w:line="240" w:lineRule="auto"/>
              <w:rPr>
                <w:rFonts w:eastAsia="Times New Roman" w:cs="Calibri"/>
                <w:iCs/>
                <w:color w:val="000000"/>
                <w:sz w:val="20"/>
                <w:szCs w:val="20"/>
              </w:rPr>
            </w:pPr>
            <w:r w:rsidRPr="00E50636">
              <w:rPr>
                <w:rFonts w:eastAsia="Times New Roman" w:cs="Calibri"/>
                <w:iCs/>
                <w:color w:val="000000"/>
                <w:sz w:val="20"/>
                <w:szCs w:val="20"/>
              </w:rPr>
              <w:t>It will not, activities which address the SAPs and NAPs will be mainly implemented under CP1.2, 1.3, 2.1, 2.2 and 3.1. The CP 1.1 will work on POP and Hg, moreover it will ensure to put in place all the diagnostic tools that can help us to measure the progress to impact; being the updated TDA one of those.</w:t>
            </w:r>
          </w:p>
        </w:tc>
      </w:tr>
      <w:tr w:rsidR="00B95DB7" w:rsidRPr="00B40B51" w:rsidTr="00B95DB7">
        <w:tc>
          <w:tcPr>
            <w:tcW w:w="5084" w:type="dxa"/>
            <w:shd w:val="clear" w:color="auto" w:fill="auto"/>
          </w:tcPr>
          <w:p w:rsidR="00B95DB7" w:rsidRPr="00B40B51" w:rsidRDefault="00B95DB7" w:rsidP="00347A50">
            <w:pPr>
              <w:spacing w:after="0" w:line="240" w:lineRule="auto"/>
              <w:rPr>
                <w:rFonts w:eastAsia="Times New Roman" w:cs="Calibri"/>
                <w:color w:val="000000"/>
                <w:sz w:val="20"/>
                <w:szCs w:val="20"/>
              </w:rPr>
            </w:pPr>
            <w:r w:rsidRPr="00E50636">
              <w:rPr>
                <w:rFonts w:eastAsia="Times New Roman" w:cs="Calibri"/>
                <w:color w:val="000000"/>
                <w:sz w:val="20"/>
                <w:szCs w:val="20"/>
              </w:rPr>
              <w:t>It is not clear from the PFD that the child projects proposed have been designed in a participatory manner with national and local stakeholders, particularly with civil society representatives and community groups. The PFD still reads as largely a top-down document and proponents need to address this deficit, regarding roles, responsibilities and accountabilities of stakeholders especially at sub-national level.</w:t>
            </w:r>
          </w:p>
        </w:tc>
        <w:tc>
          <w:tcPr>
            <w:tcW w:w="4266" w:type="dxa"/>
            <w:shd w:val="clear" w:color="auto" w:fill="auto"/>
          </w:tcPr>
          <w:p w:rsidR="00B95DB7" w:rsidRPr="00B40B51" w:rsidRDefault="00B95DB7" w:rsidP="00347A50">
            <w:pPr>
              <w:spacing w:after="0" w:line="240" w:lineRule="auto"/>
              <w:rPr>
                <w:rFonts w:eastAsia="Times New Roman" w:cs="Calibri"/>
                <w:iCs/>
                <w:color w:val="000000"/>
                <w:sz w:val="20"/>
                <w:szCs w:val="20"/>
              </w:rPr>
            </w:pPr>
            <w:r w:rsidRPr="00E50636">
              <w:rPr>
                <w:rFonts w:eastAsia="Times New Roman" w:cs="Calibri"/>
                <w:iCs/>
                <w:color w:val="000000"/>
                <w:sz w:val="20"/>
                <w:szCs w:val="20"/>
              </w:rPr>
              <w:t xml:space="preserve">As stated in the STAP “the Programme followed the successful implementation of the MedPartnership”. The MedProgramme has been developed by request </w:t>
            </w:r>
            <w:proofErr w:type="spellStart"/>
            <w:r w:rsidRPr="00E50636">
              <w:rPr>
                <w:rFonts w:eastAsia="Times New Roman" w:cs="Calibri"/>
                <w:iCs/>
                <w:color w:val="000000"/>
                <w:sz w:val="20"/>
                <w:szCs w:val="20"/>
              </w:rPr>
              <w:t>fo</w:t>
            </w:r>
            <w:proofErr w:type="spellEnd"/>
            <w:r w:rsidRPr="00E50636">
              <w:rPr>
                <w:rFonts w:eastAsia="Times New Roman" w:cs="Calibri"/>
                <w:iCs/>
                <w:color w:val="000000"/>
                <w:sz w:val="20"/>
                <w:szCs w:val="20"/>
              </w:rPr>
              <w:t xml:space="preserve"> the countries and with an approach that considers all the major stakeholders who will be instrumental to the implementation of the proposed activities. For example, for the investment component, both EIB and EBRD, will use the NAPs which has been endorsed at national level with a bottom-up approach involving a wide number of stakeholders at national and local level. The same applies to the conjunctive surface and groundwater management which will be implemented in those countries that recognized its importance through processes which involved (under the MedPartnership) the main stakeholders.</w:t>
            </w:r>
          </w:p>
        </w:tc>
      </w:tr>
      <w:tr w:rsidR="00B95DB7" w:rsidRPr="00B40B51" w:rsidTr="00B95DB7">
        <w:tc>
          <w:tcPr>
            <w:tcW w:w="5084" w:type="dxa"/>
            <w:shd w:val="clear" w:color="auto" w:fill="auto"/>
          </w:tcPr>
          <w:p w:rsidR="00B95DB7" w:rsidRPr="00B40B51" w:rsidRDefault="00B95DB7" w:rsidP="00347A50">
            <w:pPr>
              <w:spacing w:after="0" w:line="240" w:lineRule="auto"/>
              <w:rPr>
                <w:rFonts w:eastAsia="Times New Roman" w:cs="Calibri"/>
                <w:color w:val="000000"/>
                <w:sz w:val="20"/>
                <w:szCs w:val="20"/>
              </w:rPr>
            </w:pPr>
            <w:r w:rsidRPr="00E50636">
              <w:rPr>
                <w:rFonts w:eastAsia="Times New Roman" w:cs="Calibri"/>
                <w:color w:val="000000"/>
                <w:sz w:val="20"/>
                <w:szCs w:val="20"/>
              </w:rPr>
              <w:t xml:space="preserve">It is not clear from the PFD that the child projects proposed have been designed in a participatory manner with national and local stakeholders, particularly with civil society representatives and community groups. The PFD still reads as largely a top-down document and proponents need to address this deficit, regarding roles, responsibilities and </w:t>
            </w:r>
            <w:r w:rsidRPr="00E50636">
              <w:rPr>
                <w:rFonts w:eastAsia="Times New Roman" w:cs="Calibri"/>
                <w:color w:val="000000"/>
                <w:sz w:val="20"/>
                <w:szCs w:val="20"/>
              </w:rPr>
              <w:lastRenderedPageBreak/>
              <w:t>accountabilities of stakeholders especially at sub-national level.</w:t>
            </w:r>
          </w:p>
        </w:tc>
        <w:tc>
          <w:tcPr>
            <w:tcW w:w="4266" w:type="dxa"/>
            <w:shd w:val="clear" w:color="auto" w:fill="auto"/>
          </w:tcPr>
          <w:p w:rsidR="00B95DB7" w:rsidRPr="00B40B51" w:rsidRDefault="00B95DB7" w:rsidP="00347A50">
            <w:pPr>
              <w:spacing w:after="0" w:line="240" w:lineRule="auto"/>
              <w:rPr>
                <w:rFonts w:eastAsia="Times New Roman" w:cs="Calibri"/>
                <w:iCs/>
                <w:color w:val="000000"/>
                <w:sz w:val="20"/>
                <w:szCs w:val="20"/>
              </w:rPr>
            </w:pPr>
            <w:r w:rsidRPr="00E50636">
              <w:rPr>
                <w:rFonts w:eastAsia="Times New Roman" w:cs="Calibri"/>
                <w:iCs/>
                <w:color w:val="000000"/>
                <w:sz w:val="20"/>
                <w:szCs w:val="20"/>
              </w:rPr>
              <w:lastRenderedPageBreak/>
              <w:t xml:space="preserve">As stated in the STAP “the Programme followed the successful implementation of the MedPartnership”. The MedProgramme has been developed by request of the countries and with an approach that considers all the major stakeholders who will be instrumental to the implementation of the proposed activities. For </w:t>
            </w:r>
            <w:r w:rsidRPr="00E50636">
              <w:rPr>
                <w:rFonts w:eastAsia="Times New Roman" w:cs="Calibri"/>
                <w:iCs/>
                <w:color w:val="000000"/>
                <w:sz w:val="20"/>
                <w:szCs w:val="20"/>
              </w:rPr>
              <w:lastRenderedPageBreak/>
              <w:t>example, for the investment component, both EIB and EBRD, will use the NAPs which has been endorsed at national level with a bottom-up approach involving a wide number of stakeholders at national and local level. The same applies to the conjunctive surface and groundwater management which will be implemented in those countries that recognized its importance through processes which involved (under the MedPartnership) the main stakeholders.</w:t>
            </w:r>
          </w:p>
        </w:tc>
      </w:tr>
      <w:tr w:rsidR="00B95DB7" w:rsidRPr="00B40B51" w:rsidTr="00B95DB7">
        <w:tc>
          <w:tcPr>
            <w:tcW w:w="5084" w:type="dxa"/>
            <w:shd w:val="clear" w:color="auto" w:fill="auto"/>
          </w:tcPr>
          <w:p w:rsidR="00B95DB7" w:rsidRPr="00B40B51" w:rsidRDefault="00B95DB7" w:rsidP="00347A50">
            <w:pPr>
              <w:spacing w:after="0" w:line="240" w:lineRule="auto"/>
              <w:rPr>
                <w:rFonts w:eastAsia="Times New Roman" w:cs="Calibri"/>
                <w:color w:val="000000"/>
                <w:sz w:val="20"/>
                <w:szCs w:val="20"/>
              </w:rPr>
            </w:pPr>
            <w:r w:rsidRPr="00E50636">
              <w:rPr>
                <w:rFonts w:eastAsia="Times New Roman" w:cs="Calibri"/>
                <w:color w:val="000000"/>
                <w:sz w:val="20"/>
                <w:szCs w:val="20"/>
              </w:rPr>
              <w:lastRenderedPageBreak/>
              <w:t>Therefore, the entire Programme design should provide for sufficient flexibility and appropriate adaptive management strategies to counteract political instability and continuously changing circumstances of the countries in the Mediterranean region</w:t>
            </w:r>
          </w:p>
        </w:tc>
        <w:tc>
          <w:tcPr>
            <w:tcW w:w="4266" w:type="dxa"/>
            <w:shd w:val="clear" w:color="auto" w:fill="auto"/>
          </w:tcPr>
          <w:p w:rsidR="00B95DB7" w:rsidRPr="00B40B51" w:rsidRDefault="00B95DB7" w:rsidP="00347A50">
            <w:pPr>
              <w:spacing w:after="0" w:line="240" w:lineRule="auto"/>
              <w:rPr>
                <w:rFonts w:eastAsia="Times New Roman" w:cs="Calibri"/>
                <w:iCs/>
                <w:color w:val="000000"/>
                <w:sz w:val="20"/>
                <w:szCs w:val="20"/>
              </w:rPr>
            </w:pPr>
            <w:r w:rsidRPr="00E50636">
              <w:rPr>
                <w:rFonts w:eastAsia="Times New Roman" w:cs="Calibri"/>
                <w:iCs/>
                <w:color w:val="000000"/>
                <w:sz w:val="20"/>
                <w:szCs w:val="20"/>
              </w:rPr>
              <w:t>The adaptive management strategy at the MedProgramme level relies on one major tool, the Annual Stocktaking Meetings, part of CP 4.1 (output 2.2). Through these major meetings all issues of concern related to changes in political will or instability in the recipient countries will become manifest and allow for timely adaptive management responses at both the Child Project and at the Program levels.</w:t>
            </w:r>
          </w:p>
        </w:tc>
      </w:tr>
      <w:tr w:rsidR="00B95DB7" w:rsidRPr="00B40B51" w:rsidTr="00B95DB7">
        <w:tc>
          <w:tcPr>
            <w:tcW w:w="5084" w:type="dxa"/>
            <w:shd w:val="clear" w:color="auto" w:fill="auto"/>
          </w:tcPr>
          <w:p w:rsidR="00B95DB7" w:rsidRPr="00B40B51" w:rsidRDefault="00B95DB7" w:rsidP="00347A50">
            <w:pPr>
              <w:spacing w:after="0" w:line="240" w:lineRule="auto"/>
              <w:rPr>
                <w:rFonts w:eastAsia="Times New Roman" w:cs="Calibri"/>
                <w:color w:val="000000"/>
                <w:sz w:val="20"/>
                <w:szCs w:val="20"/>
              </w:rPr>
            </w:pPr>
            <w:r w:rsidRPr="00E50636">
              <w:rPr>
                <w:rFonts w:eastAsia="Times New Roman" w:cs="Calibri"/>
                <w:color w:val="000000"/>
                <w:sz w:val="20"/>
                <w:szCs w:val="20"/>
              </w:rPr>
              <w:t>During the further preparation of the Programme and its individual projects, STAP strongly recommends using a common analytical approach using scenarios to explore possible futures and identify specific intervention points for most impactful programme/project interventions.</w:t>
            </w:r>
          </w:p>
        </w:tc>
        <w:tc>
          <w:tcPr>
            <w:tcW w:w="4266" w:type="dxa"/>
            <w:shd w:val="clear" w:color="auto" w:fill="auto"/>
          </w:tcPr>
          <w:p w:rsidR="00B95DB7" w:rsidRPr="00B40B51" w:rsidRDefault="00B95DB7" w:rsidP="00347A50">
            <w:pPr>
              <w:spacing w:after="0" w:line="240" w:lineRule="auto"/>
              <w:rPr>
                <w:rFonts w:eastAsia="Times New Roman" w:cs="Calibri"/>
                <w:iCs/>
                <w:color w:val="000000"/>
                <w:sz w:val="20"/>
                <w:szCs w:val="20"/>
              </w:rPr>
            </w:pPr>
            <w:r w:rsidRPr="00E50636">
              <w:rPr>
                <w:rFonts w:eastAsia="Times New Roman" w:cs="Calibri"/>
                <w:iCs/>
                <w:color w:val="000000"/>
                <w:sz w:val="20"/>
                <w:szCs w:val="20"/>
              </w:rPr>
              <w:t>Done. In the selection of the many hot spots addressed by MedProgramme, a homogeneous approach has been adopted including future scenarios, whenever necessary.</w:t>
            </w:r>
          </w:p>
        </w:tc>
      </w:tr>
      <w:tr w:rsidR="00B95DB7" w:rsidRPr="00B40B51" w:rsidTr="00B95DB7">
        <w:tc>
          <w:tcPr>
            <w:tcW w:w="5084" w:type="dxa"/>
            <w:shd w:val="clear" w:color="auto" w:fill="auto"/>
          </w:tcPr>
          <w:p w:rsidR="00B95DB7" w:rsidRPr="00B40B51" w:rsidRDefault="00B95DB7" w:rsidP="00347A50">
            <w:pPr>
              <w:spacing w:after="0" w:line="240" w:lineRule="auto"/>
              <w:rPr>
                <w:rFonts w:eastAsia="Times New Roman" w:cs="Calibri"/>
                <w:color w:val="000000"/>
                <w:sz w:val="20"/>
                <w:szCs w:val="20"/>
              </w:rPr>
            </w:pPr>
            <w:r w:rsidRPr="00E50636">
              <w:rPr>
                <w:rFonts w:eastAsia="Times New Roman" w:cs="Calibri"/>
                <w:color w:val="000000"/>
                <w:sz w:val="20"/>
                <w:szCs w:val="20"/>
              </w:rPr>
              <w:t>Ecosystem-based adaptation solutions could be explored.</w:t>
            </w:r>
          </w:p>
        </w:tc>
        <w:tc>
          <w:tcPr>
            <w:tcW w:w="4266" w:type="dxa"/>
            <w:shd w:val="clear" w:color="auto" w:fill="auto"/>
          </w:tcPr>
          <w:p w:rsidR="00B95DB7" w:rsidRPr="00B40B51" w:rsidRDefault="00B95DB7" w:rsidP="00347A50">
            <w:pPr>
              <w:spacing w:after="0" w:line="240" w:lineRule="auto"/>
              <w:rPr>
                <w:rFonts w:eastAsia="Times New Roman" w:cs="Calibri"/>
                <w:iCs/>
                <w:color w:val="000000"/>
                <w:sz w:val="20"/>
                <w:szCs w:val="20"/>
              </w:rPr>
            </w:pPr>
            <w:r w:rsidRPr="00E50636">
              <w:rPr>
                <w:rFonts w:eastAsia="Times New Roman" w:cs="Calibri"/>
                <w:iCs/>
                <w:color w:val="000000"/>
                <w:sz w:val="20"/>
                <w:szCs w:val="20"/>
              </w:rPr>
              <w:t>Done. Nature based solutions, and circular economy approaches inform a number of CPs, in Particular CP 1.2 and 2.1.</w:t>
            </w:r>
          </w:p>
        </w:tc>
      </w:tr>
      <w:tr w:rsidR="00B95DB7" w:rsidRPr="00B40B51" w:rsidTr="00B95DB7">
        <w:tc>
          <w:tcPr>
            <w:tcW w:w="5084" w:type="dxa"/>
            <w:shd w:val="clear" w:color="auto" w:fill="auto"/>
          </w:tcPr>
          <w:p w:rsidR="00B95DB7" w:rsidRPr="00B40B51" w:rsidRDefault="00B95DB7" w:rsidP="00347A50">
            <w:pPr>
              <w:spacing w:after="0" w:line="240" w:lineRule="auto"/>
              <w:rPr>
                <w:rFonts w:eastAsia="Times New Roman" w:cs="Calibri"/>
                <w:color w:val="000000"/>
                <w:sz w:val="20"/>
                <w:szCs w:val="20"/>
              </w:rPr>
            </w:pPr>
            <w:r w:rsidRPr="00E50636">
              <w:rPr>
                <w:rFonts w:eastAsia="Times New Roman" w:cs="Calibri"/>
                <w:color w:val="000000"/>
                <w:sz w:val="20"/>
                <w:szCs w:val="20"/>
              </w:rPr>
              <w:t>Recognizing the current regional security context, STAP recommends developing further cooperative and transboundary infrastructure to protect human security of refugees and migrants by e.g., supporting livelihoods diversification among human traffickers.</w:t>
            </w:r>
          </w:p>
        </w:tc>
        <w:tc>
          <w:tcPr>
            <w:tcW w:w="4266" w:type="dxa"/>
            <w:shd w:val="clear" w:color="auto" w:fill="auto"/>
          </w:tcPr>
          <w:p w:rsidR="00B95DB7" w:rsidRPr="00E50636" w:rsidRDefault="00B95DB7" w:rsidP="00347A50">
            <w:pPr>
              <w:spacing w:after="0" w:line="240" w:lineRule="auto"/>
              <w:rPr>
                <w:rFonts w:eastAsia="Times New Roman" w:cs="Calibri"/>
                <w:iCs/>
                <w:color w:val="000000"/>
                <w:sz w:val="20"/>
                <w:szCs w:val="20"/>
              </w:rPr>
            </w:pPr>
            <w:r w:rsidRPr="00E50636">
              <w:rPr>
                <w:rFonts w:eastAsia="Times New Roman" w:cs="Calibri"/>
                <w:iCs/>
                <w:color w:val="000000"/>
                <w:sz w:val="20"/>
                <w:szCs w:val="20"/>
              </w:rPr>
              <w:t>The implementing and executing partners of the MedProgramme fully recognize such much needed actions, however based on discussion with the GEF Secretariat during the development phase such kind of actions do not seem to be under GEF mandate.</w:t>
            </w:r>
          </w:p>
          <w:p w:rsidR="00B95DB7" w:rsidRPr="00B40B51" w:rsidRDefault="00B95DB7" w:rsidP="00347A50">
            <w:pPr>
              <w:spacing w:after="0" w:line="240" w:lineRule="auto"/>
              <w:rPr>
                <w:rFonts w:eastAsia="Times New Roman" w:cs="Calibri"/>
                <w:iCs/>
                <w:color w:val="000000"/>
                <w:sz w:val="20"/>
                <w:szCs w:val="20"/>
              </w:rPr>
            </w:pPr>
            <w:r w:rsidRPr="00E50636">
              <w:rPr>
                <w:rFonts w:eastAsia="Times New Roman" w:cs="Calibri"/>
                <w:iCs/>
                <w:color w:val="000000"/>
                <w:sz w:val="20"/>
                <w:szCs w:val="20"/>
              </w:rPr>
              <w:t>Nevertheless, we believe that by increasing environmental security, the MedProgramme will indirectly strive improve the conditions of migrants, and regional stability.</w:t>
            </w:r>
          </w:p>
        </w:tc>
      </w:tr>
      <w:tr w:rsidR="00B95DB7" w:rsidRPr="00B40B51" w:rsidTr="00B95DB7">
        <w:tc>
          <w:tcPr>
            <w:tcW w:w="5084" w:type="dxa"/>
            <w:shd w:val="clear" w:color="auto" w:fill="auto"/>
          </w:tcPr>
          <w:p w:rsidR="00B95DB7" w:rsidRPr="00B40B51" w:rsidRDefault="00B95DB7" w:rsidP="00347A50">
            <w:pPr>
              <w:spacing w:after="0" w:line="240" w:lineRule="auto"/>
              <w:rPr>
                <w:rFonts w:eastAsia="Times New Roman" w:cs="Calibri"/>
                <w:color w:val="000000"/>
                <w:sz w:val="20"/>
                <w:szCs w:val="20"/>
              </w:rPr>
            </w:pPr>
            <w:r w:rsidRPr="00624489">
              <w:rPr>
                <w:rFonts w:eastAsia="Times New Roman" w:cs="Calibri"/>
                <w:color w:val="000000"/>
                <w:sz w:val="20"/>
                <w:szCs w:val="20"/>
              </w:rPr>
              <w:t>Many of the Programme interventions are best described in the framework of the Source to Sea concept. Programme proponents are advised to consult the recently released Source to Sea conceptual framework to consolidate and design further often loosely connected activities of the Programme (available at: http://www.thegef.org/council-meeting-documents/conceptual-framework-governing-and-managing-key-flows-source-sea-continuum).</w:t>
            </w:r>
          </w:p>
        </w:tc>
        <w:tc>
          <w:tcPr>
            <w:tcW w:w="4266" w:type="dxa"/>
            <w:shd w:val="clear" w:color="auto" w:fill="auto"/>
          </w:tcPr>
          <w:p w:rsidR="00B95DB7" w:rsidRPr="00B40B51" w:rsidRDefault="00B95DB7" w:rsidP="00347A50">
            <w:pPr>
              <w:spacing w:after="0" w:line="240" w:lineRule="auto"/>
              <w:rPr>
                <w:rFonts w:eastAsia="Times New Roman" w:cs="Calibri"/>
                <w:iCs/>
                <w:color w:val="000000"/>
                <w:sz w:val="20"/>
                <w:szCs w:val="20"/>
              </w:rPr>
            </w:pPr>
            <w:r w:rsidRPr="00624489">
              <w:rPr>
                <w:rFonts w:eastAsia="Times New Roman" w:cs="Calibri"/>
                <w:iCs/>
                <w:color w:val="000000"/>
                <w:sz w:val="20"/>
                <w:szCs w:val="20"/>
              </w:rPr>
              <w:t>The source to sea conceptual framework, coupled with the GPA guidelines, has clearly inspired the MedProgramme design, which builds on the 40 years’ experience, data, information and country ownership produced by the Barcelona Convention.</w:t>
            </w:r>
          </w:p>
        </w:tc>
      </w:tr>
      <w:tr w:rsidR="00B95DB7" w:rsidRPr="00B40B51" w:rsidTr="00B95DB7">
        <w:tc>
          <w:tcPr>
            <w:tcW w:w="5084" w:type="dxa"/>
            <w:shd w:val="clear" w:color="auto" w:fill="auto"/>
          </w:tcPr>
          <w:p w:rsidR="00B95DB7" w:rsidRPr="00B40B51" w:rsidRDefault="00B95DB7" w:rsidP="00347A50">
            <w:pPr>
              <w:spacing w:after="0" w:line="240" w:lineRule="auto"/>
              <w:rPr>
                <w:rFonts w:eastAsia="Times New Roman" w:cs="Calibri"/>
                <w:color w:val="000000"/>
                <w:sz w:val="20"/>
                <w:szCs w:val="20"/>
              </w:rPr>
            </w:pPr>
            <w:r w:rsidRPr="00624489">
              <w:rPr>
                <w:rFonts w:eastAsia="Times New Roman" w:cs="Calibri"/>
                <w:color w:val="000000"/>
                <w:sz w:val="20"/>
                <w:szCs w:val="20"/>
              </w:rPr>
              <w:t>A priority not dealt with in Component 4 is provision of support to participating countries to incentivize application of IMAP to policy reform or implementation.</w:t>
            </w:r>
          </w:p>
        </w:tc>
        <w:tc>
          <w:tcPr>
            <w:tcW w:w="4266" w:type="dxa"/>
            <w:shd w:val="clear" w:color="auto" w:fill="auto"/>
          </w:tcPr>
          <w:p w:rsidR="00B95DB7" w:rsidRPr="00B40B51" w:rsidRDefault="00B95DB7" w:rsidP="00347A50">
            <w:pPr>
              <w:spacing w:after="0" w:line="240" w:lineRule="auto"/>
              <w:rPr>
                <w:rFonts w:eastAsia="Times New Roman" w:cs="Calibri"/>
                <w:iCs/>
                <w:color w:val="000000"/>
                <w:sz w:val="20"/>
                <w:szCs w:val="20"/>
              </w:rPr>
            </w:pPr>
            <w:r w:rsidRPr="00624489">
              <w:rPr>
                <w:rFonts w:eastAsia="Times New Roman" w:cs="Calibri"/>
                <w:iCs/>
                <w:color w:val="000000"/>
                <w:sz w:val="20"/>
                <w:szCs w:val="20"/>
              </w:rPr>
              <w:t>The IMAP has been endorsed by the Contracting Parties to the BC in February 2016. All the countries made provision for its implementation at national level. The intention of the MedProgramme is to support and coordinate part of this process at regional level. This will happen especially under CP1.1. Moreover, CP4.1 will implement a KM Strategy which on top of bring benefit to the Programme is also helping the countries to manage the data and information produced by the child project and transfer them, as needed, to the Barcelona Convention IMAP process.</w:t>
            </w:r>
          </w:p>
        </w:tc>
      </w:tr>
      <w:tr w:rsidR="00B95DB7" w:rsidRPr="00B40B51" w:rsidTr="00B95DB7">
        <w:tc>
          <w:tcPr>
            <w:tcW w:w="5084" w:type="dxa"/>
            <w:shd w:val="clear" w:color="auto" w:fill="auto"/>
          </w:tcPr>
          <w:p w:rsidR="00B95DB7" w:rsidRPr="00B40B51" w:rsidRDefault="00B95DB7" w:rsidP="00347A50">
            <w:pPr>
              <w:spacing w:after="0" w:line="240" w:lineRule="auto"/>
              <w:rPr>
                <w:rFonts w:eastAsia="Times New Roman" w:cs="Calibri"/>
                <w:color w:val="000000"/>
                <w:sz w:val="20"/>
                <w:szCs w:val="20"/>
              </w:rPr>
            </w:pPr>
            <w:r w:rsidRPr="00624489">
              <w:rPr>
                <w:rFonts w:eastAsia="Times New Roman" w:cs="Calibri"/>
                <w:color w:val="000000"/>
                <w:sz w:val="20"/>
                <w:szCs w:val="20"/>
              </w:rPr>
              <w:t>The PFD does not provide substantive evidence of ownership (the word is missing from the entire document), beyond the formal country endorsements, and as is the case with regional projects in general, an emphasis on the demand side needs to be more fully demonstrated, especially for the proposed child projects.</w:t>
            </w:r>
          </w:p>
        </w:tc>
        <w:tc>
          <w:tcPr>
            <w:tcW w:w="4266" w:type="dxa"/>
            <w:shd w:val="clear" w:color="auto" w:fill="auto"/>
          </w:tcPr>
          <w:p w:rsidR="00B95DB7" w:rsidRPr="00B40B51" w:rsidRDefault="00B95DB7" w:rsidP="00347A50">
            <w:pPr>
              <w:spacing w:after="0" w:line="240" w:lineRule="auto"/>
              <w:rPr>
                <w:rFonts w:eastAsia="Times New Roman" w:cs="Calibri"/>
                <w:iCs/>
                <w:color w:val="000000"/>
                <w:sz w:val="20"/>
                <w:szCs w:val="20"/>
              </w:rPr>
            </w:pPr>
            <w:r w:rsidRPr="00624489">
              <w:rPr>
                <w:rFonts w:eastAsia="Times New Roman" w:cs="Calibri"/>
                <w:iCs/>
                <w:color w:val="000000"/>
                <w:sz w:val="20"/>
                <w:szCs w:val="20"/>
              </w:rPr>
              <w:t xml:space="preserve">On the contrary, the Programme builds on over 20 years of GEF IW involvement in supporting the TDA-SAP-NAPs process, and on the actions of the Barcelona Convention and of its Regional Activities </w:t>
            </w:r>
            <w:proofErr w:type="spellStart"/>
            <w:r w:rsidRPr="00624489">
              <w:rPr>
                <w:rFonts w:eastAsia="Times New Roman" w:cs="Calibri"/>
                <w:iCs/>
                <w:color w:val="000000"/>
                <w:sz w:val="20"/>
                <w:szCs w:val="20"/>
              </w:rPr>
              <w:t>Centres</w:t>
            </w:r>
            <w:proofErr w:type="spellEnd"/>
            <w:r w:rsidRPr="00624489">
              <w:rPr>
                <w:rFonts w:eastAsia="Times New Roman" w:cs="Calibri"/>
                <w:iCs/>
                <w:color w:val="000000"/>
                <w:sz w:val="20"/>
                <w:szCs w:val="20"/>
              </w:rPr>
              <w:t>. This has ensured a level of country ownership rarely achieved in previous efforts globally.</w:t>
            </w:r>
          </w:p>
        </w:tc>
      </w:tr>
      <w:tr w:rsidR="00B95DB7" w:rsidRPr="00B40B51" w:rsidTr="00B95DB7">
        <w:tc>
          <w:tcPr>
            <w:tcW w:w="5084" w:type="dxa"/>
            <w:shd w:val="clear" w:color="auto" w:fill="auto"/>
          </w:tcPr>
          <w:p w:rsidR="00B95DB7" w:rsidRPr="00B40B51" w:rsidRDefault="00B95DB7" w:rsidP="00347A50">
            <w:pPr>
              <w:spacing w:after="0" w:line="240" w:lineRule="auto"/>
              <w:rPr>
                <w:rFonts w:eastAsia="Times New Roman" w:cs="Calibri"/>
                <w:color w:val="000000"/>
                <w:sz w:val="20"/>
                <w:szCs w:val="20"/>
              </w:rPr>
            </w:pPr>
            <w:r w:rsidRPr="00B40B51">
              <w:rPr>
                <w:rFonts w:eastAsia="Times New Roman" w:cs="Calibri"/>
                <w:color w:val="000000"/>
                <w:sz w:val="20"/>
                <w:szCs w:val="20"/>
              </w:rPr>
              <w:t xml:space="preserve">There should also be consideration of potential non industrial sources of POPs and other toxic chemicals, and seeking out of the potential role of Integrated Pest Management (IPM) techniques to </w:t>
            </w:r>
            <w:proofErr w:type="spellStart"/>
            <w:r w:rsidRPr="00B40B51">
              <w:rPr>
                <w:rFonts w:eastAsia="Times New Roman" w:cs="Calibri"/>
                <w:color w:val="000000"/>
                <w:sz w:val="20"/>
                <w:szCs w:val="20"/>
              </w:rPr>
              <w:t>minimise</w:t>
            </w:r>
            <w:proofErr w:type="spellEnd"/>
            <w:r w:rsidRPr="00B40B51">
              <w:rPr>
                <w:rFonts w:eastAsia="Times New Roman" w:cs="Calibri"/>
                <w:color w:val="000000"/>
                <w:sz w:val="20"/>
                <w:szCs w:val="20"/>
              </w:rPr>
              <w:t xml:space="preserve"> use of pesticides in agriculture, horticulture, general pest control, vector control, structural preservation treatments and others.</w:t>
            </w:r>
          </w:p>
        </w:tc>
        <w:tc>
          <w:tcPr>
            <w:tcW w:w="4266" w:type="dxa"/>
            <w:shd w:val="clear" w:color="auto" w:fill="auto"/>
          </w:tcPr>
          <w:p w:rsidR="00B95DB7" w:rsidRPr="00B40B51" w:rsidRDefault="00B95DB7" w:rsidP="00347A50">
            <w:pPr>
              <w:spacing w:after="0" w:line="240" w:lineRule="auto"/>
              <w:rPr>
                <w:rFonts w:eastAsia="Times New Roman" w:cs="Calibri"/>
                <w:iCs/>
                <w:color w:val="000000"/>
                <w:sz w:val="20"/>
                <w:szCs w:val="20"/>
              </w:rPr>
            </w:pPr>
            <w:r w:rsidRPr="00B40B51">
              <w:rPr>
                <w:rFonts w:eastAsia="Times New Roman" w:cs="Calibri"/>
                <w:iCs/>
                <w:color w:val="000000"/>
                <w:sz w:val="20"/>
                <w:szCs w:val="20"/>
              </w:rPr>
              <w:t xml:space="preserve">The Chemicals and Waste component addresses non-industrial use of PFOS by </w:t>
            </w:r>
            <w:proofErr w:type="spellStart"/>
            <w:r w:rsidRPr="00B40B51">
              <w:rPr>
                <w:rFonts w:eastAsia="Times New Roman" w:cs="Calibri"/>
                <w:iCs/>
                <w:color w:val="000000"/>
                <w:sz w:val="20"/>
                <w:szCs w:val="20"/>
              </w:rPr>
              <w:t>fire fighting</w:t>
            </w:r>
            <w:proofErr w:type="spellEnd"/>
            <w:r w:rsidRPr="00B40B51">
              <w:rPr>
                <w:rFonts w:eastAsia="Times New Roman" w:cs="Calibri"/>
                <w:iCs/>
                <w:color w:val="000000"/>
                <w:sz w:val="20"/>
                <w:szCs w:val="20"/>
              </w:rPr>
              <w:t xml:space="preserve"> services, in line with the priorities expressed by countries in their NIPs. Country NIPs do not </w:t>
            </w:r>
            <w:proofErr w:type="spellStart"/>
            <w:r w:rsidRPr="00B40B51">
              <w:rPr>
                <w:rFonts w:eastAsia="Times New Roman" w:cs="Calibri"/>
                <w:iCs/>
                <w:color w:val="000000"/>
                <w:sz w:val="20"/>
                <w:szCs w:val="20"/>
              </w:rPr>
              <w:t>prioririze</w:t>
            </w:r>
            <w:proofErr w:type="spellEnd"/>
            <w:r w:rsidRPr="00B40B51">
              <w:rPr>
                <w:rFonts w:eastAsia="Times New Roman" w:cs="Calibri"/>
                <w:iCs/>
                <w:color w:val="000000"/>
                <w:sz w:val="20"/>
                <w:szCs w:val="20"/>
              </w:rPr>
              <w:t xml:space="preserve"> </w:t>
            </w:r>
          </w:p>
        </w:tc>
      </w:tr>
      <w:tr w:rsidR="00B95DB7" w:rsidRPr="00B40B51" w:rsidTr="00B95DB7">
        <w:tc>
          <w:tcPr>
            <w:tcW w:w="5084" w:type="dxa"/>
            <w:shd w:val="clear" w:color="auto" w:fill="auto"/>
          </w:tcPr>
          <w:p w:rsidR="00B95DB7" w:rsidRPr="00B40B51" w:rsidRDefault="00B95DB7" w:rsidP="00347A50">
            <w:pPr>
              <w:spacing w:after="0" w:line="240" w:lineRule="auto"/>
              <w:rPr>
                <w:rFonts w:eastAsia="Times New Roman" w:cs="Calibri"/>
                <w:color w:val="000000"/>
                <w:sz w:val="20"/>
                <w:szCs w:val="20"/>
              </w:rPr>
            </w:pPr>
            <w:r w:rsidRPr="00B40B51">
              <w:rPr>
                <w:rFonts w:eastAsia="Times New Roman" w:cs="Calibri"/>
                <w:color w:val="000000"/>
                <w:sz w:val="20"/>
                <w:szCs w:val="20"/>
              </w:rPr>
              <w:t xml:space="preserve">Where there are data gaps as relates to chemicals pollution, there should be careful retention of such data in the course of implementing this project, as well as key lessons learned in the course of implementation of methods to curtail chemicals pollution from various sources, including the impacts of climate change and variability on the concentration and </w:t>
            </w:r>
            <w:proofErr w:type="spellStart"/>
            <w:r w:rsidRPr="00B40B51">
              <w:rPr>
                <w:rFonts w:eastAsia="Times New Roman" w:cs="Calibri"/>
                <w:color w:val="000000"/>
                <w:sz w:val="20"/>
                <w:szCs w:val="20"/>
              </w:rPr>
              <w:t>behaviour</w:t>
            </w:r>
            <w:proofErr w:type="spellEnd"/>
            <w:r w:rsidRPr="00B40B51">
              <w:rPr>
                <w:rFonts w:eastAsia="Times New Roman" w:cs="Calibri"/>
                <w:color w:val="000000"/>
                <w:sz w:val="20"/>
                <w:szCs w:val="20"/>
              </w:rPr>
              <w:t xml:space="preserve"> of harmful chemicals.</w:t>
            </w:r>
          </w:p>
        </w:tc>
        <w:tc>
          <w:tcPr>
            <w:tcW w:w="4266" w:type="dxa"/>
            <w:shd w:val="clear" w:color="auto" w:fill="auto"/>
          </w:tcPr>
          <w:p w:rsidR="00B95DB7" w:rsidRPr="00B40B51" w:rsidRDefault="00B95DB7" w:rsidP="00347A50">
            <w:pPr>
              <w:spacing w:after="0" w:line="240" w:lineRule="auto"/>
              <w:rPr>
                <w:rFonts w:eastAsia="Times New Roman" w:cs="Calibri"/>
                <w:iCs/>
                <w:color w:val="000000"/>
                <w:sz w:val="20"/>
                <w:szCs w:val="20"/>
              </w:rPr>
            </w:pPr>
            <w:r w:rsidRPr="00B40B51">
              <w:rPr>
                <w:rFonts w:eastAsia="Times New Roman" w:cs="Calibri"/>
                <w:iCs/>
                <w:color w:val="000000"/>
                <w:sz w:val="20"/>
                <w:szCs w:val="20"/>
              </w:rPr>
              <w:t xml:space="preserve">The Child Project 1.1 includes data compilation using a GIS platform on waste inventories and for tracking of disposal progress. It also proposes collection of data on gender aspects of exposure to these waste sites. Finally it will produce lessons learnt on prevention of new POPs and mercury. </w:t>
            </w:r>
          </w:p>
          <w:p w:rsidR="00B95DB7" w:rsidRPr="00B40B51" w:rsidRDefault="00B95DB7" w:rsidP="00347A50">
            <w:pPr>
              <w:spacing w:after="0" w:line="240" w:lineRule="auto"/>
              <w:rPr>
                <w:rFonts w:eastAsia="Times New Roman" w:cs="Calibri"/>
                <w:iCs/>
                <w:color w:val="000000"/>
                <w:sz w:val="20"/>
                <w:szCs w:val="20"/>
              </w:rPr>
            </w:pPr>
            <w:r w:rsidRPr="00B40B51">
              <w:rPr>
                <w:rFonts w:eastAsia="Times New Roman" w:cs="Calibri"/>
                <w:iCs/>
                <w:color w:val="000000"/>
                <w:sz w:val="20"/>
                <w:szCs w:val="20"/>
              </w:rPr>
              <w:t xml:space="preserve">Through the links with Child Project 4.1 these knowledge products will be retained systematically in the wider KM systems and made available for stakeholders. </w:t>
            </w:r>
          </w:p>
        </w:tc>
      </w:tr>
      <w:tr w:rsidR="00B95DB7" w:rsidRPr="00B40B51" w:rsidTr="001811B4">
        <w:tc>
          <w:tcPr>
            <w:tcW w:w="9350" w:type="dxa"/>
            <w:gridSpan w:val="2"/>
            <w:shd w:val="clear" w:color="auto" w:fill="A6A6A6" w:themeFill="background1" w:themeFillShade="A6"/>
          </w:tcPr>
          <w:p w:rsidR="00B95DB7" w:rsidRPr="00B95DB7" w:rsidRDefault="00B95DB7" w:rsidP="00347A50">
            <w:pPr>
              <w:spacing w:after="0" w:line="240" w:lineRule="auto"/>
              <w:rPr>
                <w:rFonts w:eastAsia="Times New Roman" w:cs="Calibri"/>
                <w:b/>
                <w:bCs/>
                <w:color w:val="000000"/>
                <w:sz w:val="26"/>
                <w:szCs w:val="26"/>
              </w:rPr>
            </w:pPr>
          </w:p>
          <w:p w:rsidR="00B95DB7" w:rsidRPr="001811B4" w:rsidRDefault="00B95DB7" w:rsidP="00347A50">
            <w:pPr>
              <w:spacing w:after="0" w:line="240" w:lineRule="auto"/>
              <w:rPr>
                <w:rFonts w:eastAsia="Times New Roman" w:cs="Calibri"/>
                <w:b/>
                <w:bCs/>
                <w:color w:val="000000"/>
                <w:sz w:val="26"/>
                <w:szCs w:val="26"/>
              </w:rPr>
            </w:pPr>
            <w:r>
              <w:rPr>
                <w:rFonts w:eastAsia="Times New Roman" w:cs="Calibri"/>
                <w:b/>
                <w:bCs/>
                <w:color w:val="000000"/>
                <w:sz w:val="26"/>
                <w:szCs w:val="26"/>
              </w:rPr>
              <w:t xml:space="preserve">GEF Council </w:t>
            </w:r>
            <w:r w:rsidRPr="00B95DB7">
              <w:rPr>
                <w:rFonts w:eastAsia="Times New Roman" w:cs="Calibri"/>
                <w:b/>
                <w:bCs/>
                <w:color w:val="000000"/>
                <w:sz w:val="26"/>
                <w:szCs w:val="26"/>
              </w:rPr>
              <w:t>Review</w:t>
            </w:r>
            <w:r w:rsidRPr="001811B4">
              <w:rPr>
                <w:rFonts w:eastAsia="Times New Roman" w:cs="Calibri"/>
                <w:b/>
                <w:bCs/>
                <w:color w:val="000000"/>
                <w:sz w:val="26"/>
                <w:szCs w:val="26"/>
              </w:rPr>
              <w:t xml:space="preserve"> </w:t>
            </w:r>
          </w:p>
        </w:tc>
      </w:tr>
      <w:tr w:rsidR="00B95DB7" w:rsidRPr="00B95DB7" w:rsidTr="001811B4">
        <w:tc>
          <w:tcPr>
            <w:tcW w:w="5084" w:type="dxa"/>
            <w:shd w:val="clear" w:color="auto" w:fill="D9D9D9" w:themeFill="background1" w:themeFillShade="D9"/>
          </w:tcPr>
          <w:p w:rsidR="00B95DB7" w:rsidRPr="001811B4" w:rsidRDefault="00B95DB7" w:rsidP="00347A50">
            <w:pPr>
              <w:spacing w:after="0" w:line="240" w:lineRule="auto"/>
              <w:rPr>
                <w:bCs/>
                <w:color w:val="000000"/>
                <w:sz w:val="26"/>
                <w:szCs w:val="26"/>
              </w:rPr>
            </w:pPr>
          </w:p>
          <w:p w:rsidR="00B95DB7" w:rsidRPr="001811B4" w:rsidRDefault="00B95DB7" w:rsidP="00347A50">
            <w:pPr>
              <w:spacing w:after="0" w:line="240" w:lineRule="auto"/>
              <w:rPr>
                <w:bCs/>
                <w:color w:val="000000"/>
                <w:sz w:val="26"/>
                <w:szCs w:val="26"/>
              </w:rPr>
            </w:pPr>
            <w:r w:rsidRPr="001811B4">
              <w:rPr>
                <w:bCs/>
                <w:color w:val="000000"/>
                <w:sz w:val="26"/>
                <w:szCs w:val="26"/>
              </w:rPr>
              <w:t>C</w:t>
            </w:r>
            <w:r w:rsidRPr="001811B4">
              <w:rPr>
                <w:rFonts w:eastAsia="Times New Roman" w:cs="Calibri"/>
                <w:bCs/>
                <w:color w:val="000000"/>
                <w:sz w:val="26"/>
                <w:szCs w:val="26"/>
              </w:rPr>
              <w:t>omments</w:t>
            </w:r>
          </w:p>
        </w:tc>
        <w:tc>
          <w:tcPr>
            <w:tcW w:w="4266" w:type="dxa"/>
            <w:shd w:val="clear" w:color="auto" w:fill="D9D9D9" w:themeFill="background1" w:themeFillShade="D9"/>
          </w:tcPr>
          <w:p w:rsidR="00B95DB7" w:rsidRPr="001811B4" w:rsidRDefault="00B95DB7" w:rsidP="00347A50">
            <w:pPr>
              <w:spacing w:after="0" w:line="240" w:lineRule="auto"/>
              <w:rPr>
                <w:rFonts w:eastAsia="Times New Roman" w:cs="Calibri"/>
                <w:b/>
                <w:bCs/>
                <w:color w:val="000000"/>
                <w:sz w:val="26"/>
                <w:szCs w:val="26"/>
              </w:rPr>
            </w:pPr>
          </w:p>
          <w:p w:rsidR="00B95DB7" w:rsidRPr="001811B4" w:rsidRDefault="00B95DB7" w:rsidP="00347A50">
            <w:pPr>
              <w:spacing w:after="0" w:line="240" w:lineRule="auto"/>
              <w:rPr>
                <w:rFonts w:eastAsia="Times New Roman" w:cs="Calibri"/>
                <w:b/>
                <w:bCs/>
                <w:color w:val="000000"/>
                <w:sz w:val="26"/>
                <w:szCs w:val="26"/>
              </w:rPr>
            </w:pPr>
            <w:r w:rsidRPr="001811B4">
              <w:rPr>
                <w:rFonts w:eastAsia="Times New Roman" w:cs="Calibri"/>
                <w:b/>
                <w:bCs/>
                <w:color w:val="000000"/>
                <w:sz w:val="26"/>
                <w:szCs w:val="26"/>
              </w:rPr>
              <w:t>Response</w:t>
            </w:r>
          </w:p>
        </w:tc>
      </w:tr>
      <w:tr w:rsidR="00B95DB7" w:rsidRPr="00E50636" w:rsidTr="00347A50">
        <w:tc>
          <w:tcPr>
            <w:tcW w:w="5084" w:type="dxa"/>
            <w:shd w:val="clear" w:color="auto" w:fill="auto"/>
          </w:tcPr>
          <w:p w:rsidR="00B95DB7" w:rsidRPr="00B40B51" w:rsidRDefault="00B95DB7" w:rsidP="00347A50">
            <w:pPr>
              <w:spacing w:after="0" w:line="240" w:lineRule="auto"/>
              <w:rPr>
                <w:rStyle w:val="CommentReference"/>
                <w:rFonts w:eastAsia="Times New Roman" w:cs="Calibri"/>
                <w:sz w:val="20"/>
                <w:szCs w:val="20"/>
                <w:lang w:val="x-none" w:eastAsia="x-none"/>
              </w:rPr>
            </w:pPr>
            <w:r w:rsidRPr="00B95DB7">
              <w:rPr>
                <w:rStyle w:val="CommentReference"/>
                <w:rFonts w:eastAsia="Times New Roman" w:cs="Calibri"/>
                <w:b/>
                <w:sz w:val="20"/>
                <w:szCs w:val="20"/>
                <w:lang w:eastAsia="x-none"/>
              </w:rPr>
              <w:t>G</w:t>
            </w:r>
            <w:r w:rsidRPr="00B95DB7">
              <w:rPr>
                <w:rStyle w:val="CommentReference"/>
                <w:b/>
                <w:sz w:val="20"/>
                <w:szCs w:val="20"/>
                <w:lang w:eastAsia="x-none"/>
              </w:rPr>
              <w:t>ermany on OUTCOME 1:</w:t>
            </w:r>
            <w:r>
              <w:t xml:space="preserve"> </w:t>
            </w:r>
            <w:r w:rsidRPr="00B95DB7">
              <w:rPr>
                <w:rStyle w:val="CommentReference"/>
                <w:rFonts w:eastAsia="Times New Roman" w:cs="Calibri"/>
                <w:sz w:val="20"/>
                <w:szCs w:val="20"/>
                <w:lang w:val="x-none" w:eastAsia="x-none"/>
              </w:rPr>
              <w:t>Reduction of land-based pollution in priority coastal hotspots and measuring progress to impacts. Germany suggests expanding the suggested focus on chemicals pollution (in particular POPS, PAHs, and mercury) to include also non-industrial sources of POPs of high relevance. Furthermore, a more detailed analysis for each country (how effective support and coordination will be reached) is recommended for better monitoring and evaluation purposes.</w:t>
            </w:r>
          </w:p>
        </w:tc>
        <w:tc>
          <w:tcPr>
            <w:tcW w:w="4266" w:type="dxa"/>
            <w:shd w:val="clear" w:color="auto" w:fill="auto"/>
          </w:tcPr>
          <w:p w:rsidR="00B95DB7" w:rsidRPr="00E50636" w:rsidRDefault="005525E4" w:rsidP="00347A50">
            <w:pPr>
              <w:spacing w:after="0" w:line="240" w:lineRule="auto"/>
              <w:rPr>
                <w:rFonts w:eastAsia="Times New Roman" w:cs="Calibri"/>
                <w:iCs/>
                <w:color w:val="000000"/>
                <w:sz w:val="20"/>
                <w:szCs w:val="20"/>
              </w:rPr>
            </w:pPr>
            <w:r>
              <w:rPr>
                <w:rFonts w:eastAsia="Times New Roman" w:cs="Calibri"/>
                <w:iCs/>
                <w:color w:val="000000"/>
                <w:sz w:val="20"/>
                <w:szCs w:val="20"/>
              </w:rPr>
              <w:t xml:space="preserve">The reduction of land Bases Sources of pollution (LBS) and measuring of progress to impact in the Mediterranean Sea is based on a 15 years cycle stated with the Transboundary Diagnostic Analysis, followed by the preparation and endorsement by the countries of the Strategic Action Plan (SAP) for LBS (SAP-MED) and for Biodiversity (SAP-BIO). The implementation of the two SAPs led to the definition of national Action Plans were the hotspots of intervention in terms of LBS are clearly indicated and agreed upon by the countries. Unfortunately, this process did not included the tracking, monitoring and identification for POPs, PAHs and Mercury. , Nevertheless, the Child Project 1.1 </w:t>
            </w:r>
            <w:r w:rsidR="00F45C7D">
              <w:rPr>
                <w:rFonts w:eastAsia="Times New Roman" w:cs="Calibri"/>
                <w:iCs/>
                <w:color w:val="000000"/>
                <w:sz w:val="20"/>
                <w:szCs w:val="20"/>
              </w:rPr>
              <w:t xml:space="preserve">(GEF ID 9684) </w:t>
            </w:r>
            <w:r>
              <w:rPr>
                <w:rFonts w:eastAsia="Times New Roman" w:cs="Calibri"/>
                <w:iCs/>
                <w:color w:val="000000"/>
                <w:sz w:val="20"/>
                <w:szCs w:val="20"/>
              </w:rPr>
              <w:t xml:space="preserve">of the MedProgramme </w:t>
            </w:r>
            <w:r w:rsidRPr="005525E4">
              <w:rPr>
                <w:rFonts w:eastAsia="Times New Roman" w:cs="Calibri"/>
                <w:iCs/>
                <w:color w:val="000000"/>
                <w:sz w:val="20"/>
                <w:szCs w:val="20"/>
              </w:rPr>
              <w:t xml:space="preserve">addresses non-industrial use of PFOS by </w:t>
            </w:r>
            <w:r w:rsidR="00F45C7D" w:rsidRPr="005525E4">
              <w:rPr>
                <w:rFonts w:eastAsia="Times New Roman" w:cs="Calibri"/>
                <w:iCs/>
                <w:color w:val="000000"/>
                <w:sz w:val="20"/>
                <w:szCs w:val="20"/>
              </w:rPr>
              <w:t>firefighting</w:t>
            </w:r>
            <w:r w:rsidRPr="005525E4">
              <w:rPr>
                <w:rFonts w:eastAsia="Times New Roman" w:cs="Calibri"/>
                <w:iCs/>
                <w:color w:val="000000"/>
                <w:sz w:val="20"/>
                <w:szCs w:val="20"/>
              </w:rPr>
              <w:t xml:space="preserve"> services, in line with the priorities expressed by countries in their NIPs. Country NIPs do not prioritize</w:t>
            </w:r>
            <w:r>
              <w:rPr>
                <w:rFonts w:eastAsia="Times New Roman" w:cs="Calibri"/>
                <w:iCs/>
                <w:color w:val="000000"/>
                <w:sz w:val="20"/>
                <w:szCs w:val="20"/>
              </w:rPr>
              <w:t>. Moreover, the work done by the Barcelona Convention on defining stocks of POPs and Hg in the Mediterranean countries, together with the further development of this information under the MedProgramme will allow a huge step forward in the region to support the countries in their effort of addressing this issue.</w:t>
            </w:r>
          </w:p>
        </w:tc>
      </w:tr>
      <w:tr w:rsidR="00B95DB7" w:rsidRPr="00E50636" w:rsidTr="00B95DB7">
        <w:tc>
          <w:tcPr>
            <w:tcW w:w="5084" w:type="dxa"/>
            <w:tcBorders>
              <w:top w:val="single" w:sz="4" w:space="0" w:color="auto"/>
              <w:left w:val="single" w:sz="4" w:space="0" w:color="auto"/>
              <w:bottom w:val="single" w:sz="4" w:space="0" w:color="auto"/>
              <w:right w:val="single" w:sz="4" w:space="0" w:color="auto"/>
            </w:tcBorders>
            <w:shd w:val="clear" w:color="auto" w:fill="auto"/>
          </w:tcPr>
          <w:p w:rsidR="00B95DB7" w:rsidRPr="00B95DB7" w:rsidRDefault="00B95DB7" w:rsidP="00347A50">
            <w:pPr>
              <w:spacing w:after="0" w:line="240" w:lineRule="auto"/>
              <w:rPr>
                <w:rStyle w:val="CommentReference"/>
                <w:rFonts w:eastAsia="Times New Roman" w:cs="Calibri"/>
                <w:sz w:val="20"/>
                <w:szCs w:val="20"/>
                <w:lang w:eastAsia="x-none"/>
              </w:rPr>
            </w:pPr>
            <w:r w:rsidRPr="00B95DB7">
              <w:rPr>
                <w:rStyle w:val="CommentReference"/>
                <w:rFonts w:eastAsia="Times New Roman" w:cs="Calibri"/>
                <w:b/>
                <w:sz w:val="20"/>
                <w:szCs w:val="20"/>
                <w:lang w:eastAsia="x-none"/>
              </w:rPr>
              <w:t>Germany on OUTCOME 4:</w:t>
            </w:r>
            <w:r w:rsidRPr="00B95DB7">
              <w:rPr>
                <w:rFonts w:eastAsia="Times New Roman" w:cs="Calibri"/>
                <w:sz w:val="20"/>
                <w:szCs w:val="20"/>
                <w:lang w:eastAsia="x-none"/>
              </w:rPr>
              <w:t xml:space="preserve"> </w:t>
            </w:r>
            <w:r w:rsidRPr="00B95DB7">
              <w:rPr>
                <w:rStyle w:val="CommentReference"/>
                <w:rFonts w:eastAsia="Times New Roman" w:cs="Calibri"/>
                <w:sz w:val="20"/>
                <w:szCs w:val="20"/>
                <w:lang w:eastAsia="x-none"/>
              </w:rPr>
              <w:t>Germany welcomes the promotion of an integrated coastal zone management (ICZM). Participatory management, thus the empowerment of user groups into the management decisions as well as the surveillance and monitoring is crucial for the projects’ success. A stronger emphasis on alternative livelihoods for fishing communities is recommended.</w:t>
            </w:r>
          </w:p>
        </w:tc>
        <w:tc>
          <w:tcPr>
            <w:tcW w:w="4266" w:type="dxa"/>
            <w:tcBorders>
              <w:top w:val="single" w:sz="4" w:space="0" w:color="auto"/>
              <w:left w:val="single" w:sz="4" w:space="0" w:color="auto"/>
              <w:bottom w:val="single" w:sz="4" w:space="0" w:color="auto"/>
              <w:right w:val="single" w:sz="4" w:space="0" w:color="auto"/>
            </w:tcBorders>
            <w:shd w:val="clear" w:color="auto" w:fill="auto"/>
          </w:tcPr>
          <w:p w:rsidR="00B95DB7" w:rsidRPr="00E50636" w:rsidRDefault="00F45C7D" w:rsidP="00347A50">
            <w:pPr>
              <w:spacing w:after="0" w:line="240" w:lineRule="auto"/>
              <w:rPr>
                <w:rFonts w:eastAsia="Times New Roman" w:cs="Calibri"/>
                <w:iCs/>
                <w:color w:val="000000"/>
                <w:sz w:val="20"/>
                <w:szCs w:val="20"/>
              </w:rPr>
            </w:pPr>
            <w:r>
              <w:rPr>
                <w:rFonts w:eastAsia="Times New Roman" w:cs="Calibri"/>
                <w:iCs/>
                <w:color w:val="000000"/>
                <w:sz w:val="20"/>
                <w:szCs w:val="20"/>
              </w:rPr>
              <w:t>Child Project 2.1 (GEF 9687) focuses on m</w:t>
            </w:r>
            <w:r w:rsidRPr="00F45C7D">
              <w:rPr>
                <w:rFonts w:eastAsia="Times New Roman" w:cs="Calibri"/>
                <w:iCs/>
                <w:color w:val="000000"/>
                <w:sz w:val="20"/>
                <w:szCs w:val="20"/>
              </w:rPr>
              <w:t>ajor coastal wetlands, lagoons, humid zones and coastal habitats, providing very valuable services and contributing to coastal livelihoods and biodiversity, are all in part or totally dependent on groundwater regimes.</w:t>
            </w:r>
            <w:r>
              <w:rPr>
                <w:rFonts w:eastAsia="Times New Roman" w:cs="Calibri"/>
                <w:iCs/>
                <w:color w:val="000000"/>
                <w:sz w:val="20"/>
                <w:szCs w:val="20"/>
              </w:rPr>
              <w:t xml:space="preserve"> This included livelihoods for fishing communities. Moreover, being the MedProgramme executed under the umbrella of the Barcelona Convention, it will benefit of the ongoing </w:t>
            </w:r>
            <w:r w:rsidR="00B60E6A">
              <w:rPr>
                <w:rFonts w:eastAsia="Times New Roman" w:cs="Calibri"/>
                <w:iCs/>
                <w:color w:val="000000"/>
                <w:sz w:val="20"/>
                <w:szCs w:val="20"/>
              </w:rPr>
              <w:t>partnership</w:t>
            </w:r>
            <w:r>
              <w:rPr>
                <w:rFonts w:eastAsia="Times New Roman" w:cs="Calibri"/>
                <w:iCs/>
                <w:color w:val="000000"/>
                <w:sz w:val="20"/>
                <w:szCs w:val="20"/>
              </w:rPr>
              <w:t xml:space="preserve"> between the Convention and the General Fishery Commission of the Mediterranean which will introduce elements related to fishing in the Programme. </w:t>
            </w:r>
          </w:p>
        </w:tc>
      </w:tr>
      <w:tr w:rsidR="00B95DB7" w:rsidRPr="00E50636" w:rsidTr="00B95DB7">
        <w:tc>
          <w:tcPr>
            <w:tcW w:w="5084" w:type="dxa"/>
            <w:tcBorders>
              <w:top w:val="single" w:sz="4" w:space="0" w:color="auto"/>
              <w:left w:val="single" w:sz="4" w:space="0" w:color="auto"/>
              <w:bottom w:val="single" w:sz="4" w:space="0" w:color="auto"/>
              <w:right w:val="single" w:sz="4" w:space="0" w:color="auto"/>
            </w:tcBorders>
            <w:shd w:val="clear" w:color="auto" w:fill="auto"/>
          </w:tcPr>
          <w:p w:rsidR="00B95DB7" w:rsidRPr="00B95DB7" w:rsidRDefault="00B95DB7" w:rsidP="00347A50">
            <w:pPr>
              <w:spacing w:after="0" w:line="240" w:lineRule="auto"/>
              <w:rPr>
                <w:rStyle w:val="CommentReference"/>
                <w:rFonts w:eastAsia="Times New Roman" w:cs="Calibri"/>
                <w:sz w:val="20"/>
                <w:szCs w:val="20"/>
                <w:lang w:eastAsia="x-none"/>
              </w:rPr>
            </w:pPr>
            <w:r w:rsidRPr="00B95DB7">
              <w:rPr>
                <w:rStyle w:val="CommentReference"/>
                <w:rFonts w:eastAsia="Times New Roman" w:cs="Calibri"/>
                <w:b/>
                <w:sz w:val="20"/>
                <w:szCs w:val="20"/>
                <w:lang w:eastAsia="x-none"/>
              </w:rPr>
              <w:t>Germany on OUTCOME 7:</w:t>
            </w:r>
            <w:r w:rsidRPr="00B95DB7">
              <w:rPr>
                <w:rFonts w:eastAsia="Times New Roman" w:cs="Calibri"/>
                <w:sz w:val="20"/>
                <w:szCs w:val="20"/>
                <w:lang w:eastAsia="x-none"/>
              </w:rPr>
              <w:t xml:space="preserve"> </w:t>
            </w:r>
            <w:r w:rsidRPr="00B95DB7">
              <w:rPr>
                <w:rStyle w:val="CommentReference"/>
                <w:rFonts w:eastAsia="Times New Roman" w:cs="Calibri"/>
                <w:sz w:val="20"/>
                <w:szCs w:val="20"/>
                <w:lang w:eastAsia="x-none"/>
              </w:rPr>
              <w:t>Germany welcomes the improvement of management capacity as well as the expansion of the Libyan Marine Protected Areas (MPA). It is recommended to incorporate the high importance of artisanal fisheries for local food security and livelihoods. The MPA management plan should imply buffer zones between the MPA and fishing areas. In these small strips local fishermen communities can use an exclusive access (ban for industrial fisheries) and benefit from extensive fisheries. Involvement of fishermen in the management of marine protected areas is crucial for their sustainability.</w:t>
            </w:r>
          </w:p>
        </w:tc>
        <w:tc>
          <w:tcPr>
            <w:tcW w:w="4266" w:type="dxa"/>
            <w:tcBorders>
              <w:top w:val="single" w:sz="4" w:space="0" w:color="auto"/>
              <w:left w:val="single" w:sz="4" w:space="0" w:color="auto"/>
              <w:bottom w:val="single" w:sz="4" w:space="0" w:color="auto"/>
              <w:right w:val="single" w:sz="4" w:space="0" w:color="auto"/>
            </w:tcBorders>
            <w:shd w:val="clear" w:color="auto" w:fill="auto"/>
          </w:tcPr>
          <w:p w:rsidR="00B95DB7" w:rsidRPr="00E50636" w:rsidRDefault="00F45C7D" w:rsidP="00347A50">
            <w:pPr>
              <w:spacing w:after="0" w:line="240" w:lineRule="auto"/>
              <w:rPr>
                <w:rFonts w:eastAsia="Times New Roman" w:cs="Calibri"/>
                <w:iCs/>
                <w:color w:val="000000"/>
                <w:sz w:val="20"/>
                <w:szCs w:val="20"/>
              </w:rPr>
            </w:pPr>
            <w:r>
              <w:rPr>
                <w:rFonts w:eastAsia="Times New Roman" w:cs="Calibri"/>
                <w:iCs/>
                <w:color w:val="000000"/>
                <w:sz w:val="20"/>
                <w:szCs w:val="20"/>
              </w:rPr>
              <w:t>Artisanal fisheries is included in Child Project 3.1 (GEF ID 10158), concretely in its output 31 where the importance of artisanal fishery is recognized and supported by several activities such as the preparation and dissemination of a</w:t>
            </w:r>
            <w:r w:rsidRPr="00F45C7D">
              <w:rPr>
                <w:rFonts w:eastAsia="Times New Roman" w:cs="Calibri"/>
                <w:iCs/>
                <w:color w:val="000000"/>
                <w:sz w:val="20"/>
                <w:szCs w:val="20"/>
              </w:rPr>
              <w:t xml:space="preserve"> set of communication material to promoting artisanal sustainable fishery heritage in and around the selected MPAs. </w:t>
            </w:r>
          </w:p>
        </w:tc>
      </w:tr>
      <w:tr w:rsidR="00B95DB7" w:rsidRPr="00E50636" w:rsidTr="00B95DB7">
        <w:tc>
          <w:tcPr>
            <w:tcW w:w="5084" w:type="dxa"/>
            <w:tcBorders>
              <w:top w:val="single" w:sz="4" w:space="0" w:color="auto"/>
              <w:left w:val="single" w:sz="4" w:space="0" w:color="auto"/>
              <w:bottom w:val="single" w:sz="4" w:space="0" w:color="auto"/>
              <w:right w:val="single" w:sz="4" w:space="0" w:color="auto"/>
            </w:tcBorders>
            <w:shd w:val="clear" w:color="auto" w:fill="auto"/>
          </w:tcPr>
          <w:p w:rsidR="00B95DB7" w:rsidRPr="00B95DB7" w:rsidRDefault="00B95DB7" w:rsidP="00347A50">
            <w:pPr>
              <w:spacing w:after="0" w:line="240" w:lineRule="auto"/>
              <w:rPr>
                <w:rStyle w:val="CommentReference"/>
                <w:rFonts w:eastAsia="Times New Roman" w:cs="Calibri"/>
                <w:sz w:val="20"/>
                <w:szCs w:val="20"/>
                <w:lang w:eastAsia="x-none"/>
              </w:rPr>
            </w:pPr>
            <w:r w:rsidRPr="00B95DB7">
              <w:rPr>
                <w:rStyle w:val="CommentReference"/>
                <w:rFonts w:eastAsia="Times New Roman" w:cs="Calibri"/>
                <w:b/>
                <w:sz w:val="20"/>
                <w:szCs w:val="20"/>
                <w:lang w:eastAsia="x-none"/>
              </w:rPr>
              <w:t xml:space="preserve">Germany on </w:t>
            </w:r>
            <w:r w:rsidRPr="00B95DB7">
              <w:rPr>
                <w:rStyle w:val="CommentReference"/>
                <w:b/>
                <w:sz w:val="20"/>
                <w:szCs w:val="20"/>
                <w:lang w:eastAsia="x-none"/>
              </w:rPr>
              <w:t>the MedProgramme</w:t>
            </w:r>
            <w:r w:rsidRPr="00B95DB7">
              <w:rPr>
                <w:rStyle w:val="CommentReference"/>
                <w:rFonts w:eastAsia="Times New Roman" w:cs="Calibri"/>
                <w:b/>
                <w:sz w:val="20"/>
                <w:szCs w:val="20"/>
                <w:lang w:eastAsia="x-none"/>
              </w:rPr>
              <w:t>:</w:t>
            </w:r>
            <w:r w:rsidRPr="00B95DB7">
              <w:rPr>
                <w:rFonts w:eastAsia="Times New Roman" w:cs="Calibri"/>
                <w:sz w:val="20"/>
                <w:szCs w:val="20"/>
                <w:lang w:eastAsia="x-none"/>
              </w:rPr>
              <w:t xml:space="preserve"> </w:t>
            </w:r>
            <w:r w:rsidRPr="00B95DB7">
              <w:rPr>
                <w:rStyle w:val="CommentReference"/>
                <w:rFonts w:eastAsia="Times New Roman" w:cs="Calibri"/>
                <w:sz w:val="20"/>
                <w:szCs w:val="20"/>
                <w:lang w:eastAsia="x-none"/>
              </w:rPr>
              <w:t>Lobbying for a higher political prioritization of the implementation of national fishery policies and frameworks promoting sustainable marine resource management.</w:t>
            </w:r>
          </w:p>
        </w:tc>
        <w:tc>
          <w:tcPr>
            <w:tcW w:w="4266" w:type="dxa"/>
            <w:tcBorders>
              <w:top w:val="single" w:sz="4" w:space="0" w:color="auto"/>
              <w:left w:val="single" w:sz="4" w:space="0" w:color="auto"/>
              <w:bottom w:val="single" w:sz="4" w:space="0" w:color="auto"/>
              <w:right w:val="single" w:sz="4" w:space="0" w:color="auto"/>
            </w:tcBorders>
            <w:shd w:val="clear" w:color="auto" w:fill="auto"/>
          </w:tcPr>
          <w:p w:rsidR="00B95DB7" w:rsidRPr="00E50636" w:rsidRDefault="00B60E6A" w:rsidP="00347A50">
            <w:pPr>
              <w:spacing w:after="0" w:line="240" w:lineRule="auto"/>
              <w:rPr>
                <w:rFonts w:eastAsia="Times New Roman" w:cs="Calibri"/>
                <w:iCs/>
                <w:color w:val="000000"/>
                <w:sz w:val="20"/>
                <w:szCs w:val="20"/>
              </w:rPr>
            </w:pPr>
            <w:r>
              <w:rPr>
                <w:rFonts w:eastAsia="Times New Roman" w:cs="Calibri"/>
                <w:iCs/>
                <w:color w:val="000000"/>
                <w:sz w:val="20"/>
                <w:szCs w:val="20"/>
              </w:rPr>
              <w:t xml:space="preserve">Although this activity is not directly included in the MedProgramme (which mainly addresses the priorities defined by the Mediterranean Countries under the Protocols of the Barcelona Convention), </w:t>
            </w:r>
            <w:r w:rsidRPr="00B60E6A">
              <w:rPr>
                <w:rFonts w:eastAsia="Times New Roman" w:cs="Calibri"/>
                <w:iCs/>
                <w:color w:val="000000"/>
                <w:sz w:val="20"/>
                <w:szCs w:val="20"/>
              </w:rPr>
              <w:t>implementation of national fishery policies and frameworks promoting sustainable marine resource management</w:t>
            </w:r>
            <w:r>
              <w:rPr>
                <w:rFonts w:eastAsia="Times New Roman" w:cs="Calibri"/>
                <w:iCs/>
                <w:color w:val="000000"/>
                <w:sz w:val="20"/>
                <w:szCs w:val="20"/>
              </w:rPr>
              <w:t xml:space="preserve"> it is focus of the collaboration partnership between the Convention and the General Fishery Commission of the Mediterranean. Outcomes and outputs of this partnership will be linked to the MedProgramme.</w:t>
            </w:r>
          </w:p>
        </w:tc>
      </w:tr>
      <w:tr w:rsidR="00B95DB7" w:rsidRPr="00E50636" w:rsidTr="00B95DB7">
        <w:tc>
          <w:tcPr>
            <w:tcW w:w="5084" w:type="dxa"/>
            <w:tcBorders>
              <w:top w:val="single" w:sz="4" w:space="0" w:color="auto"/>
              <w:left w:val="single" w:sz="4" w:space="0" w:color="auto"/>
              <w:bottom w:val="single" w:sz="4" w:space="0" w:color="auto"/>
              <w:right w:val="single" w:sz="4" w:space="0" w:color="auto"/>
            </w:tcBorders>
            <w:shd w:val="clear" w:color="auto" w:fill="auto"/>
          </w:tcPr>
          <w:p w:rsidR="00B95DB7" w:rsidRPr="00B95DB7" w:rsidRDefault="00B95DB7" w:rsidP="00347A50">
            <w:pPr>
              <w:spacing w:after="0" w:line="240" w:lineRule="auto"/>
              <w:rPr>
                <w:rStyle w:val="CommentReference"/>
                <w:rFonts w:eastAsia="Times New Roman" w:cs="Calibri"/>
                <w:sz w:val="20"/>
                <w:szCs w:val="20"/>
                <w:lang w:eastAsia="x-none"/>
              </w:rPr>
            </w:pPr>
            <w:r w:rsidRPr="00B95DB7">
              <w:rPr>
                <w:rStyle w:val="CommentReference"/>
                <w:rFonts w:eastAsia="Times New Roman" w:cs="Calibri"/>
                <w:b/>
                <w:sz w:val="20"/>
                <w:szCs w:val="20"/>
                <w:lang w:eastAsia="x-none"/>
              </w:rPr>
              <w:t>Germany on the MedProgramme:</w:t>
            </w:r>
            <w:r w:rsidRPr="00B95DB7">
              <w:rPr>
                <w:rFonts w:eastAsia="Times New Roman" w:cs="Calibri"/>
                <w:sz w:val="20"/>
                <w:szCs w:val="20"/>
                <w:lang w:eastAsia="x-none"/>
              </w:rPr>
              <w:t xml:space="preserve"> </w:t>
            </w:r>
            <w:r>
              <w:rPr>
                <w:rFonts w:eastAsia="Times New Roman" w:cs="Calibri"/>
                <w:sz w:val="20"/>
                <w:szCs w:val="20"/>
                <w:lang w:eastAsia="x-none"/>
              </w:rPr>
              <w:t>‘</w:t>
            </w:r>
            <w:r w:rsidRPr="00B95DB7">
              <w:rPr>
                <w:rStyle w:val="CommentReference"/>
                <w:rFonts w:eastAsia="Times New Roman" w:cs="Calibri"/>
                <w:sz w:val="20"/>
                <w:szCs w:val="20"/>
                <w:lang w:eastAsia="x-none"/>
              </w:rPr>
              <w:t>Blue Carbon’ offsets as an economic potential for coastal villages.</w:t>
            </w:r>
          </w:p>
        </w:tc>
        <w:tc>
          <w:tcPr>
            <w:tcW w:w="4266" w:type="dxa"/>
            <w:tcBorders>
              <w:top w:val="single" w:sz="4" w:space="0" w:color="auto"/>
              <w:left w:val="single" w:sz="4" w:space="0" w:color="auto"/>
              <w:bottom w:val="single" w:sz="4" w:space="0" w:color="auto"/>
              <w:right w:val="single" w:sz="4" w:space="0" w:color="auto"/>
            </w:tcBorders>
            <w:shd w:val="clear" w:color="auto" w:fill="auto"/>
          </w:tcPr>
          <w:p w:rsidR="00B95DB7" w:rsidRPr="00E50636" w:rsidRDefault="00B60E6A" w:rsidP="00347A50">
            <w:pPr>
              <w:spacing w:after="0" w:line="240" w:lineRule="auto"/>
              <w:rPr>
                <w:rFonts w:eastAsia="Times New Roman" w:cs="Calibri"/>
                <w:iCs/>
                <w:color w:val="000000"/>
                <w:sz w:val="20"/>
                <w:szCs w:val="20"/>
              </w:rPr>
            </w:pPr>
            <w:r>
              <w:rPr>
                <w:rFonts w:eastAsia="Times New Roman" w:cs="Calibri"/>
                <w:iCs/>
                <w:color w:val="000000"/>
                <w:sz w:val="20"/>
                <w:szCs w:val="20"/>
              </w:rPr>
              <w:t xml:space="preserve">Although we recognize the importance of the comment made by Germany, </w:t>
            </w:r>
            <w:r>
              <w:rPr>
                <w:rFonts w:eastAsia="Times New Roman" w:cs="Calibri"/>
                <w:sz w:val="20"/>
                <w:szCs w:val="20"/>
                <w:lang w:eastAsia="x-none"/>
              </w:rPr>
              <w:t>‘</w:t>
            </w:r>
            <w:r w:rsidRPr="00B95DB7">
              <w:rPr>
                <w:rStyle w:val="CommentReference"/>
                <w:rFonts w:eastAsia="Times New Roman" w:cs="Calibri"/>
                <w:sz w:val="20"/>
                <w:szCs w:val="20"/>
                <w:lang w:eastAsia="x-none"/>
              </w:rPr>
              <w:t>Blue Carbon’ offsets as an economic potential for coastal villages</w:t>
            </w:r>
            <w:r>
              <w:rPr>
                <w:rStyle w:val="CommentReference"/>
                <w:rFonts w:eastAsia="Times New Roman" w:cs="Calibri"/>
                <w:sz w:val="20"/>
                <w:szCs w:val="20"/>
                <w:lang w:eastAsia="x-none"/>
              </w:rPr>
              <w:t xml:space="preserve"> is not in the scope of the MedProgramme. However, being the Programme executed in the wider framework of the Barcelona Convention process linkages with Blue Carbon offset and related matter will be explored and certainly made if appropriate. </w:t>
            </w:r>
          </w:p>
        </w:tc>
      </w:tr>
      <w:tr w:rsidR="00B95DB7" w:rsidRPr="00E50636" w:rsidTr="00B95DB7">
        <w:tc>
          <w:tcPr>
            <w:tcW w:w="5084" w:type="dxa"/>
            <w:tcBorders>
              <w:top w:val="single" w:sz="4" w:space="0" w:color="auto"/>
              <w:left w:val="single" w:sz="4" w:space="0" w:color="auto"/>
              <w:bottom w:val="single" w:sz="4" w:space="0" w:color="auto"/>
              <w:right w:val="single" w:sz="4" w:space="0" w:color="auto"/>
            </w:tcBorders>
            <w:shd w:val="clear" w:color="auto" w:fill="auto"/>
          </w:tcPr>
          <w:p w:rsidR="00B95DB7" w:rsidRPr="00B95DB7" w:rsidRDefault="00B95DB7" w:rsidP="00347A50">
            <w:pPr>
              <w:spacing w:after="0" w:line="240" w:lineRule="auto"/>
              <w:rPr>
                <w:rStyle w:val="CommentReference"/>
                <w:rFonts w:eastAsia="Times New Roman" w:cs="Calibri"/>
                <w:sz w:val="20"/>
                <w:szCs w:val="20"/>
                <w:lang w:eastAsia="x-none"/>
              </w:rPr>
            </w:pPr>
            <w:r w:rsidRPr="00B95DB7">
              <w:rPr>
                <w:rStyle w:val="CommentReference"/>
                <w:rFonts w:eastAsia="Times New Roman" w:cs="Calibri"/>
                <w:b/>
                <w:sz w:val="20"/>
                <w:szCs w:val="20"/>
                <w:lang w:eastAsia="x-none"/>
              </w:rPr>
              <w:t>Germany on the MedProgramme:</w:t>
            </w:r>
            <w:r w:rsidRPr="00B95DB7">
              <w:rPr>
                <w:rFonts w:eastAsia="Times New Roman" w:cs="Calibri"/>
                <w:sz w:val="20"/>
                <w:szCs w:val="20"/>
                <w:lang w:eastAsia="x-none"/>
              </w:rPr>
              <w:t xml:space="preserve"> </w:t>
            </w:r>
            <w:r w:rsidRPr="00B95DB7">
              <w:rPr>
                <w:rStyle w:val="CommentReference"/>
                <w:rFonts w:eastAsia="Times New Roman" w:cs="Calibri"/>
                <w:sz w:val="20"/>
                <w:szCs w:val="20"/>
                <w:lang w:eastAsia="x-none"/>
              </w:rPr>
              <w:t>Decentralized adaption strategies for the intrusion of saline groundwater into aquifers. In sunny areas PV-driven small-scale desalination plants could allow local approaches.</w:t>
            </w:r>
          </w:p>
        </w:tc>
        <w:tc>
          <w:tcPr>
            <w:tcW w:w="4266" w:type="dxa"/>
            <w:tcBorders>
              <w:top w:val="single" w:sz="4" w:space="0" w:color="auto"/>
              <w:left w:val="single" w:sz="4" w:space="0" w:color="auto"/>
              <w:bottom w:val="single" w:sz="4" w:space="0" w:color="auto"/>
              <w:right w:val="single" w:sz="4" w:space="0" w:color="auto"/>
            </w:tcBorders>
            <w:shd w:val="clear" w:color="auto" w:fill="auto"/>
          </w:tcPr>
          <w:p w:rsidR="00B95DB7" w:rsidRPr="00E50636" w:rsidRDefault="00C669D3" w:rsidP="00347A50">
            <w:pPr>
              <w:spacing w:after="0" w:line="240" w:lineRule="auto"/>
              <w:rPr>
                <w:rFonts w:eastAsia="Times New Roman" w:cs="Calibri"/>
                <w:iCs/>
                <w:color w:val="000000"/>
                <w:sz w:val="20"/>
                <w:szCs w:val="20"/>
              </w:rPr>
            </w:pPr>
            <w:r>
              <w:rPr>
                <w:rFonts w:eastAsia="Times New Roman" w:cs="Calibri"/>
                <w:iCs/>
                <w:color w:val="000000"/>
                <w:sz w:val="20"/>
                <w:szCs w:val="20"/>
              </w:rPr>
              <w:t>Although we recognize the importance a</w:t>
            </w:r>
            <w:r>
              <w:rPr>
                <w:iCs/>
                <w:color w:val="000000"/>
              </w:rPr>
              <w:t xml:space="preserve">nd </w:t>
            </w:r>
            <w:proofErr w:type="spellStart"/>
            <w:r>
              <w:rPr>
                <w:iCs/>
                <w:color w:val="000000"/>
              </w:rPr>
              <w:t>tehcnial</w:t>
            </w:r>
            <w:proofErr w:type="spellEnd"/>
            <w:r>
              <w:rPr>
                <w:iCs/>
                <w:color w:val="000000"/>
              </w:rPr>
              <w:t xml:space="preserve"> relevance of the comment made by Germany, desalination plan/processes/standards are not eligible under GEF 6 therefore have been removed by the Programme. Nevertheless, under Child project 1.2 (GEF ID 9717), the Barcelona Convention will develop</w:t>
            </w:r>
            <w:r>
              <w:t xml:space="preserve"> </w:t>
            </w:r>
            <w:r w:rsidRPr="00C669D3">
              <w:rPr>
                <w:iCs/>
                <w:color w:val="000000"/>
              </w:rPr>
              <w:t>common environmental standards on desalination</w:t>
            </w:r>
            <w:r>
              <w:rPr>
                <w:iCs/>
                <w:color w:val="000000"/>
              </w:rPr>
              <w:t xml:space="preserve"> for the Mediterranean Region by using NON-GEF funds. These standards will be submitted to the Conference of Contracting Parties of the Convention for consideration. If approved they will be the first step to support the approach suggested by Germany.</w:t>
            </w:r>
          </w:p>
        </w:tc>
      </w:tr>
      <w:tr w:rsidR="00B95DB7" w:rsidRPr="00E50636" w:rsidTr="00B95DB7">
        <w:tc>
          <w:tcPr>
            <w:tcW w:w="5084" w:type="dxa"/>
            <w:tcBorders>
              <w:top w:val="single" w:sz="4" w:space="0" w:color="auto"/>
              <w:left w:val="single" w:sz="4" w:space="0" w:color="auto"/>
              <w:bottom w:val="single" w:sz="4" w:space="0" w:color="auto"/>
              <w:right w:val="single" w:sz="4" w:space="0" w:color="auto"/>
            </w:tcBorders>
            <w:shd w:val="clear" w:color="auto" w:fill="auto"/>
          </w:tcPr>
          <w:p w:rsidR="00B95DB7" w:rsidRPr="00B95DB7" w:rsidRDefault="00B95DB7" w:rsidP="00347A50">
            <w:pPr>
              <w:spacing w:after="0" w:line="240" w:lineRule="auto"/>
              <w:rPr>
                <w:rStyle w:val="CommentReference"/>
                <w:rFonts w:eastAsia="Times New Roman" w:cs="Calibri"/>
                <w:sz w:val="20"/>
                <w:szCs w:val="20"/>
                <w:lang w:eastAsia="x-none"/>
              </w:rPr>
            </w:pPr>
            <w:r w:rsidRPr="00B95DB7">
              <w:rPr>
                <w:rStyle w:val="CommentReference"/>
                <w:rFonts w:eastAsia="Times New Roman" w:cs="Calibri"/>
                <w:b/>
                <w:sz w:val="20"/>
                <w:szCs w:val="20"/>
                <w:lang w:eastAsia="x-none"/>
              </w:rPr>
              <w:t>Germany on the MedProgramme:</w:t>
            </w:r>
            <w:r w:rsidRPr="00B95DB7">
              <w:rPr>
                <w:rFonts w:eastAsia="Times New Roman" w:cs="Calibri"/>
                <w:sz w:val="20"/>
                <w:szCs w:val="20"/>
                <w:lang w:eastAsia="x-none"/>
              </w:rPr>
              <w:t xml:space="preserve"> </w:t>
            </w:r>
            <w:r w:rsidRPr="00B95DB7">
              <w:rPr>
                <w:rStyle w:val="CommentReference"/>
                <w:rFonts w:eastAsia="Times New Roman" w:cs="Calibri"/>
                <w:sz w:val="20"/>
                <w:szCs w:val="20"/>
                <w:lang w:eastAsia="x-none"/>
              </w:rPr>
              <w:t>The involvement of wastewater reuse and freshwater consumption reduction strategies</w:t>
            </w:r>
            <w:r w:rsidR="001811B4">
              <w:rPr>
                <w:rStyle w:val="CommentReference"/>
                <w:rFonts w:eastAsia="Times New Roman" w:cs="Calibri"/>
                <w:sz w:val="20"/>
                <w:szCs w:val="20"/>
                <w:lang w:eastAsia="x-none"/>
              </w:rPr>
              <w:t>.</w:t>
            </w:r>
          </w:p>
        </w:tc>
        <w:tc>
          <w:tcPr>
            <w:tcW w:w="4266" w:type="dxa"/>
            <w:tcBorders>
              <w:top w:val="single" w:sz="4" w:space="0" w:color="auto"/>
              <w:left w:val="single" w:sz="4" w:space="0" w:color="auto"/>
              <w:bottom w:val="single" w:sz="4" w:space="0" w:color="auto"/>
              <w:right w:val="single" w:sz="4" w:space="0" w:color="auto"/>
            </w:tcBorders>
            <w:shd w:val="clear" w:color="auto" w:fill="auto"/>
          </w:tcPr>
          <w:p w:rsidR="00B95DB7" w:rsidRPr="00E50636" w:rsidRDefault="00A76B44" w:rsidP="00347A50">
            <w:pPr>
              <w:spacing w:after="0" w:line="240" w:lineRule="auto"/>
              <w:rPr>
                <w:rFonts w:eastAsia="Times New Roman" w:cs="Calibri"/>
                <w:iCs/>
                <w:color w:val="000000"/>
                <w:sz w:val="20"/>
                <w:szCs w:val="20"/>
              </w:rPr>
            </w:pPr>
            <w:r>
              <w:rPr>
                <w:rFonts w:eastAsia="Times New Roman" w:cs="Calibri"/>
                <w:iCs/>
                <w:color w:val="000000"/>
                <w:sz w:val="20"/>
                <w:szCs w:val="20"/>
              </w:rPr>
              <w:t xml:space="preserve">Child Project 1.2 (GEF ID 9717) is promoting </w:t>
            </w:r>
            <w:r w:rsidRPr="00A76B44">
              <w:rPr>
                <w:rFonts w:eastAsia="Times New Roman" w:cs="Calibri"/>
                <w:iCs/>
                <w:color w:val="000000"/>
                <w:sz w:val="20"/>
                <w:szCs w:val="20"/>
              </w:rPr>
              <w:t>investments at national level will focus on WWTP Extension and upgrade including treated wastewater reuse/reinjection (MAR)</w:t>
            </w:r>
            <w:r>
              <w:rPr>
                <w:rFonts w:eastAsia="Times New Roman" w:cs="Calibri"/>
                <w:iCs/>
                <w:color w:val="000000"/>
                <w:sz w:val="20"/>
                <w:szCs w:val="20"/>
              </w:rPr>
              <w:t xml:space="preserve"> to decrease water consumption in the countries where national actions will take place (Egypt, Lebanon and Tunisia). Moreover the same Child Project will develop  r</w:t>
            </w:r>
            <w:r w:rsidRPr="00A76B44">
              <w:rPr>
                <w:rFonts w:eastAsia="Times New Roman" w:cs="Calibri"/>
                <w:iCs/>
                <w:color w:val="000000"/>
                <w:sz w:val="20"/>
                <w:szCs w:val="20"/>
              </w:rPr>
              <w:t>egional standards on wastewater management</w:t>
            </w:r>
            <w:r>
              <w:rPr>
                <w:rFonts w:eastAsia="Times New Roman" w:cs="Calibri"/>
                <w:iCs/>
                <w:color w:val="000000"/>
                <w:sz w:val="20"/>
                <w:szCs w:val="20"/>
              </w:rPr>
              <w:t xml:space="preserve"> (including reuse)</w:t>
            </w:r>
            <w:r w:rsidRPr="00A76B44">
              <w:rPr>
                <w:rFonts w:eastAsia="Times New Roman" w:cs="Calibri"/>
                <w:iCs/>
                <w:color w:val="000000"/>
                <w:sz w:val="20"/>
                <w:szCs w:val="20"/>
              </w:rPr>
              <w:t xml:space="preserve"> for deliberation of the Contracting Parties of the Barcelona Convention.</w:t>
            </w:r>
          </w:p>
        </w:tc>
      </w:tr>
      <w:tr w:rsidR="00B95DB7" w:rsidRPr="00E50636" w:rsidTr="00B95DB7">
        <w:tc>
          <w:tcPr>
            <w:tcW w:w="5084" w:type="dxa"/>
            <w:tcBorders>
              <w:top w:val="single" w:sz="4" w:space="0" w:color="auto"/>
              <w:left w:val="single" w:sz="4" w:space="0" w:color="auto"/>
              <w:bottom w:val="single" w:sz="4" w:space="0" w:color="auto"/>
              <w:right w:val="single" w:sz="4" w:space="0" w:color="auto"/>
            </w:tcBorders>
            <w:shd w:val="clear" w:color="auto" w:fill="auto"/>
          </w:tcPr>
          <w:p w:rsidR="00B95DB7" w:rsidRPr="00B95DB7" w:rsidRDefault="001811B4" w:rsidP="00347A50">
            <w:pPr>
              <w:spacing w:after="0" w:line="240" w:lineRule="auto"/>
              <w:rPr>
                <w:rStyle w:val="CommentReference"/>
                <w:rFonts w:eastAsia="Times New Roman" w:cs="Calibri"/>
                <w:b/>
                <w:sz w:val="20"/>
                <w:szCs w:val="20"/>
                <w:lang w:eastAsia="x-none"/>
              </w:rPr>
            </w:pPr>
            <w:r w:rsidRPr="00B95DB7">
              <w:rPr>
                <w:rStyle w:val="CommentReference"/>
                <w:rFonts w:eastAsia="Times New Roman" w:cs="Calibri"/>
                <w:b/>
                <w:sz w:val="20"/>
                <w:szCs w:val="20"/>
                <w:lang w:eastAsia="x-none"/>
              </w:rPr>
              <w:t>Germany on the MedProgramme</w:t>
            </w:r>
            <w:r>
              <w:rPr>
                <w:rStyle w:val="CommentReference"/>
                <w:rFonts w:eastAsia="Times New Roman" w:cs="Calibri"/>
                <w:b/>
                <w:sz w:val="20"/>
                <w:szCs w:val="20"/>
                <w:lang w:eastAsia="x-none"/>
              </w:rPr>
              <w:t>:</w:t>
            </w:r>
            <w:r w:rsidRPr="001811B4">
              <w:t xml:space="preserve"> </w:t>
            </w:r>
            <w:r w:rsidRPr="001811B4">
              <w:rPr>
                <w:rStyle w:val="CommentReference"/>
                <w:rFonts w:eastAsia="Times New Roman" w:cs="Calibri"/>
                <w:sz w:val="20"/>
                <w:szCs w:val="20"/>
                <w:lang w:eastAsia="x-none"/>
              </w:rPr>
              <w:t>More investments into wastewater-treatment facilities for the reduction of heavy metals, endocrine disrupters, plastic and other pollutants as runoff in the Mediterranean Sea.</w:t>
            </w:r>
          </w:p>
        </w:tc>
        <w:tc>
          <w:tcPr>
            <w:tcW w:w="4266" w:type="dxa"/>
            <w:tcBorders>
              <w:top w:val="single" w:sz="4" w:space="0" w:color="auto"/>
              <w:left w:val="single" w:sz="4" w:space="0" w:color="auto"/>
              <w:bottom w:val="single" w:sz="4" w:space="0" w:color="auto"/>
              <w:right w:val="single" w:sz="4" w:space="0" w:color="auto"/>
            </w:tcBorders>
            <w:shd w:val="clear" w:color="auto" w:fill="auto"/>
          </w:tcPr>
          <w:p w:rsidR="00B95DB7" w:rsidRPr="00E50636" w:rsidRDefault="005624EE" w:rsidP="00347A50">
            <w:pPr>
              <w:spacing w:after="0" w:line="240" w:lineRule="auto"/>
              <w:rPr>
                <w:rFonts w:eastAsia="Times New Roman" w:cs="Calibri"/>
                <w:iCs/>
                <w:color w:val="000000"/>
                <w:sz w:val="20"/>
                <w:szCs w:val="20"/>
              </w:rPr>
            </w:pPr>
            <w:r>
              <w:rPr>
                <w:rFonts w:eastAsia="Times New Roman" w:cs="Calibri"/>
                <w:iCs/>
                <w:color w:val="000000"/>
                <w:sz w:val="20"/>
                <w:szCs w:val="20"/>
              </w:rPr>
              <w:t>Under Child Project 1.2 (GEF ID 9717) EIB will mobile more than USD 600M in investments on WWT facilities in Egypt, Lebanon and Tunisia. Moreover, the MedProgramme is already generating interest of other potential investors to engage in advanced WWTP in the region to achieve reduction of LBS of pollution and increase climate change adaptation resilience.</w:t>
            </w:r>
          </w:p>
        </w:tc>
      </w:tr>
    </w:tbl>
    <w:p w:rsidR="00B95DB7" w:rsidRPr="00B40B51" w:rsidRDefault="00B95DB7" w:rsidP="00B95DB7">
      <w:pPr>
        <w:spacing w:after="0" w:line="240" w:lineRule="auto"/>
        <w:rPr>
          <w:rFonts w:cs="Calibri"/>
          <w:b/>
          <w:bCs/>
          <w:iCs/>
          <w:color w:val="000000"/>
        </w:rPr>
      </w:pPr>
    </w:p>
    <w:p w:rsidR="00B95DB7" w:rsidRDefault="00B95DB7" w:rsidP="00B95DB7">
      <w:pPr>
        <w:spacing w:after="0" w:line="240" w:lineRule="auto"/>
        <w:rPr>
          <w:rFonts w:cs="Calibri"/>
          <w:b/>
          <w:bCs/>
          <w:iCs/>
          <w:color w:val="000000"/>
        </w:rPr>
      </w:pPr>
    </w:p>
    <w:p w:rsidR="00031CA6" w:rsidRDefault="00031CA6"/>
    <w:sectPr w:rsidR="00031C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5DB7"/>
    <w:rsid w:val="00031CA6"/>
    <w:rsid w:val="001811B4"/>
    <w:rsid w:val="005525E4"/>
    <w:rsid w:val="005624EE"/>
    <w:rsid w:val="009D0D47"/>
    <w:rsid w:val="00A76B44"/>
    <w:rsid w:val="00B60E6A"/>
    <w:rsid w:val="00B95DB7"/>
    <w:rsid w:val="00C669D3"/>
    <w:rsid w:val="00E05819"/>
    <w:rsid w:val="00F064E5"/>
    <w:rsid w:val="00F45C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E79E54-6C9E-4013-B662-E1107DAC2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95DB7"/>
    <w:pPr>
      <w:spacing w:after="200" w:line="276" w:lineRule="auto"/>
    </w:pPr>
    <w:rPr>
      <w:rFonts w:ascii="Calibri" w:eastAsia="SimSu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uiPriority w:val="99"/>
    <w:rsid w:val="00B95DB7"/>
    <w:rPr>
      <w:sz w:val="16"/>
      <w:szCs w:val="16"/>
    </w:rPr>
  </w:style>
  <w:style w:type="paragraph" w:styleId="CommentText">
    <w:name w:val="annotation text"/>
    <w:basedOn w:val="Normal"/>
    <w:link w:val="CommentTextChar"/>
    <w:uiPriority w:val="99"/>
    <w:rsid w:val="00B95DB7"/>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basedOn w:val="DefaultParagraphFont"/>
    <w:link w:val="CommentText"/>
    <w:uiPriority w:val="99"/>
    <w:rsid w:val="00B95DB7"/>
    <w:rPr>
      <w:rFonts w:ascii="Times New Roman" w:eastAsia="Times New Roman" w:hAnsi="Times New Roman" w:cs="Times New Roman"/>
      <w:sz w:val="20"/>
      <w:szCs w:val="20"/>
      <w:lang w:val="x-none" w:eastAsia="x-none"/>
    </w:rPr>
  </w:style>
  <w:style w:type="paragraph" w:styleId="BalloonText">
    <w:name w:val="Balloon Text"/>
    <w:basedOn w:val="Normal"/>
    <w:link w:val="BalloonTextChar"/>
    <w:uiPriority w:val="99"/>
    <w:semiHidden/>
    <w:unhideWhenUsed/>
    <w:rsid w:val="00B95DB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95DB7"/>
    <w:rPr>
      <w:rFonts w:ascii="Segoe UI" w:eastAsia="SimSu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9717</GEFID>
    <ProjectType xmlns="ceb00776-aa5c-4fc8-b6fe-5f035152e4b6">FSP</ProjectType>
    <GEFProjectID xmlns="ceb00776-aa5c-4fc8-b6fe-5f035152e4b6">da9f696a-df7c-e811-8124-3863bb2e1360</GEFProjectID>
    <DocActive xmlns="ceb00776-aa5c-4fc8-b6fe-5f035152e4b6">No</DocActive>
    <DocCategory xmlns="ceb00776-aa5c-4fc8-b6fe-5f035152e4b6">Project Supporting Document</DocCategory>
    <FocalArea xmlns="ceb00776-aa5c-4fc8-b6fe-5f035152e4b6">Multi Focal Area</FocalArea>
    <DocType xmlns="ceb00776-aa5c-4fc8-b6fe-5f035152e4b6">Roadmap</DocType>
    <ProjectTitle xmlns="ceb00776-aa5c-4fc8-b6fe-5f035152e4b6">Mediterranean Pollution Hot Spots Investment Project</ProjectTitle>
    <TrustFundType xmlns="ceb00776-aa5c-4fc8-b6fe-5f035152e4b6">GET</TrustFundType>
    <TaxCatchAll xmlns="3e02667f-0271-471b-bd6e-11a2e16def1d"/>
    <DocumentTitle xmlns="ceb00776-aa5c-4fc8-b6fe-5f035152e4b6">Addendum to ANNEX B containing Council and STAP comments and responses</DocumentTitle>
  </documentManagement>
</p:properties>
</file>

<file path=customXml/itemProps1.xml><?xml version="1.0" encoding="utf-8"?>
<ds:datastoreItem xmlns:ds="http://schemas.openxmlformats.org/officeDocument/2006/customXml" ds:itemID="{13B156E4-B14C-4448-AE45-29B1B6F8FBCF}"/>
</file>

<file path=customXml/itemProps2.xml><?xml version="1.0" encoding="utf-8"?>
<ds:datastoreItem xmlns:ds="http://schemas.openxmlformats.org/officeDocument/2006/customXml" ds:itemID="{5C3869CA-630D-4893-BAC9-E4485DF2D558}"/>
</file>

<file path=customXml/itemProps3.xml><?xml version="1.0" encoding="utf-8"?>
<ds:datastoreItem xmlns:ds="http://schemas.openxmlformats.org/officeDocument/2006/customXml" ds:itemID="{B50C0D85-7160-4230-8C56-C1FB0BA61DE2}"/>
</file>

<file path=docProps/app.xml><?xml version="1.0" encoding="utf-8"?>
<Properties xmlns="http://schemas.openxmlformats.org/officeDocument/2006/extended-properties" xmlns:vt="http://schemas.openxmlformats.org/officeDocument/2006/docPropsVTypes">
  <Template>Normal.dotm</Template>
  <TotalTime>1</TotalTime>
  <Pages>3</Pages>
  <Words>2350</Words>
  <Characters>13400</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Lorenzo Galbiati</dc:creator>
  <cp:keywords/>
  <dc:description/>
  <cp:lastModifiedBy>Steffen Cole Brandstrup Hansen</cp:lastModifiedBy>
  <cp:revision>2</cp:revision>
  <dcterms:created xsi:type="dcterms:W3CDTF">2019-07-19T21:29:00Z</dcterms:created>
  <dcterms:modified xsi:type="dcterms:W3CDTF">2019-07-19T21:29:00Z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